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E81893B" w14:textId="77777777" w:rsidR="00F87614" w:rsidRDefault="005B592A">
      <w:pPr>
        <w:pStyle w:val="Title"/>
        <w:widowControl w:val="0"/>
        <w:contextualSpacing w:val="0"/>
        <w:rPr>
          <w:rFonts w:ascii="Century Gothic" w:hAnsi="Century Gothic"/>
          <w:color w:val="auto"/>
        </w:rPr>
      </w:pPr>
      <w:bookmarkStart w:id="0" w:name="h.t1iygyygtl6f" w:colFirst="0" w:colLast="0"/>
      <w:bookmarkStart w:id="1" w:name="_GoBack"/>
      <w:bookmarkEnd w:id="0"/>
      <w:bookmarkEnd w:id="1"/>
      <w:r w:rsidRPr="00562388">
        <w:rPr>
          <w:rFonts w:ascii="Century Gothic" w:hAnsi="Century Gothic"/>
          <w:color w:val="auto"/>
        </w:rPr>
        <w:t>Developing world MOOCs: a curricu</w:t>
      </w:r>
      <w:r w:rsidR="00D67212">
        <w:rPr>
          <w:rFonts w:ascii="Century Gothic" w:hAnsi="Century Gothic"/>
          <w:color w:val="auto"/>
        </w:rPr>
        <w:t xml:space="preserve">lum view of the MOOC landscape </w:t>
      </w:r>
    </w:p>
    <w:p w14:paraId="7A7A9238" w14:textId="77777777" w:rsidR="00F87614" w:rsidRDefault="005B592A">
      <w:pPr>
        <w:pStyle w:val="Heading1"/>
        <w:widowControl w:val="0"/>
        <w:spacing w:before="480" w:after="120"/>
        <w:contextualSpacing w:val="0"/>
        <w:rPr>
          <w:rFonts w:ascii="Century Gothic" w:hAnsi="Century Gothic"/>
          <w:b/>
          <w:color w:val="auto"/>
          <w:szCs w:val="32"/>
        </w:rPr>
      </w:pPr>
      <w:bookmarkStart w:id="2" w:name="h.s2c0gf2py6mv" w:colFirst="0" w:colLast="0"/>
      <w:bookmarkStart w:id="3" w:name="h.7tjlog8nqe2y" w:colFirst="0" w:colLast="0"/>
      <w:bookmarkEnd w:id="2"/>
      <w:bookmarkEnd w:id="3"/>
      <w:r w:rsidRPr="00562388">
        <w:rPr>
          <w:rFonts w:ascii="Century Gothic" w:hAnsi="Century Gothic"/>
          <w:b/>
          <w:color w:val="auto"/>
          <w:szCs w:val="32"/>
        </w:rPr>
        <w:t xml:space="preserve">Introduction </w:t>
      </w:r>
    </w:p>
    <w:p w14:paraId="4B485CDD" w14:textId="3E0CCB71" w:rsidR="00CB0B17" w:rsidRPr="00562388" w:rsidRDefault="00925FBE" w:rsidP="00CB0B17">
      <w:pPr>
        <w:pStyle w:val="NoSpacing"/>
        <w:rPr>
          <w:color w:val="auto"/>
        </w:rPr>
      </w:pPr>
      <w:r>
        <w:t xml:space="preserve">Education is always mediated by historical and social contexts and </w:t>
      </w:r>
      <w:r w:rsidR="00CB0B17">
        <w:t>South African universities</w:t>
      </w:r>
      <w:r w:rsidR="00486AB4">
        <w:t>, like all others,</w:t>
      </w:r>
      <w:r w:rsidR="00CB0B17">
        <w:t xml:space="preserve"> face localised and specific problems; the South African </w:t>
      </w:r>
      <w:r w:rsidR="0029117F">
        <w:t>Higher Education</w:t>
      </w:r>
      <w:r w:rsidR="00CB0B17">
        <w:t xml:space="preserve"> sector ca</w:t>
      </w:r>
      <w:r w:rsidR="00CB0B17" w:rsidRPr="00562388">
        <w:rPr>
          <w:color w:val="auto"/>
        </w:rPr>
        <w:t>n be characterised as a low participation</w:t>
      </w:r>
      <w:r w:rsidR="00CB0B17">
        <w:rPr>
          <w:color w:val="auto"/>
        </w:rPr>
        <w:t>,</w:t>
      </w:r>
      <w:r w:rsidR="00CB0B17" w:rsidRPr="00562388">
        <w:rPr>
          <w:color w:val="auto"/>
        </w:rPr>
        <w:t xml:space="preserve"> high attrition system. There is a huge attrition rate</w:t>
      </w:r>
      <w:r w:rsidR="00CB0B17">
        <w:rPr>
          <w:color w:val="auto"/>
        </w:rPr>
        <w:t>,</w:t>
      </w:r>
      <w:r w:rsidR="00CB0B17" w:rsidRPr="00562388">
        <w:rPr>
          <w:color w:val="auto"/>
        </w:rPr>
        <w:t xml:space="preserve"> with 40% of first</w:t>
      </w:r>
      <w:r w:rsidR="00B750CC">
        <w:rPr>
          <w:color w:val="auto"/>
        </w:rPr>
        <w:t>-</w:t>
      </w:r>
      <w:r w:rsidR="00CB0B17" w:rsidRPr="00562388">
        <w:rPr>
          <w:color w:val="auto"/>
        </w:rPr>
        <w:t xml:space="preserve"> year</w:t>
      </w:r>
      <w:r w:rsidR="00005D9F">
        <w:rPr>
          <w:color w:val="auto"/>
        </w:rPr>
        <w:t xml:space="preserve"> students</w:t>
      </w:r>
      <w:r w:rsidR="00CB0B17" w:rsidRPr="00562388">
        <w:rPr>
          <w:color w:val="auto"/>
        </w:rPr>
        <w:t xml:space="preserve"> leaving university across the system (Letseka </w:t>
      </w:r>
      <w:r w:rsidR="00CB0B17">
        <w:rPr>
          <w:color w:val="auto"/>
        </w:rPr>
        <w:t>&amp;</w:t>
      </w:r>
      <w:r w:rsidR="00CB0B17" w:rsidRPr="00562388">
        <w:rPr>
          <w:color w:val="auto"/>
        </w:rPr>
        <w:t xml:space="preserve"> Maile</w:t>
      </w:r>
      <w:r w:rsidR="00CB0B17">
        <w:rPr>
          <w:color w:val="auto"/>
        </w:rPr>
        <w:t xml:space="preserve">, </w:t>
      </w:r>
      <w:r w:rsidR="00CB0B17" w:rsidRPr="00562388">
        <w:rPr>
          <w:color w:val="auto"/>
        </w:rPr>
        <w:t>2008)</w:t>
      </w:r>
      <w:r w:rsidR="00CB0B17">
        <w:rPr>
          <w:color w:val="auto"/>
        </w:rPr>
        <w:t>,</w:t>
      </w:r>
      <w:r w:rsidR="00CB0B17" w:rsidRPr="00562388">
        <w:rPr>
          <w:color w:val="auto"/>
        </w:rPr>
        <w:t xml:space="preserve"> and successful completion is a critical concern especially when parsed by the race categories of the apartheid past</w:t>
      </w:r>
      <w:r w:rsidR="00CB0B17">
        <w:rPr>
          <w:color w:val="auto"/>
        </w:rPr>
        <w:t>,</w:t>
      </w:r>
      <w:r w:rsidR="00CB0B17" w:rsidRPr="00562388">
        <w:rPr>
          <w:color w:val="auto"/>
        </w:rPr>
        <w:t xml:space="preserve"> which show participation rates </w:t>
      </w:r>
      <w:r w:rsidR="006046F7">
        <w:rPr>
          <w:color w:val="auto"/>
        </w:rPr>
        <w:t xml:space="preserve">of </w:t>
      </w:r>
      <w:r w:rsidR="00CB0B17" w:rsidRPr="00562388">
        <w:rPr>
          <w:color w:val="auto"/>
        </w:rPr>
        <w:t>over 50% for white students and only 13% for African students</w:t>
      </w:r>
      <w:r w:rsidR="00B750CC" w:rsidRPr="00562388">
        <w:rPr>
          <w:color w:val="auto"/>
        </w:rPr>
        <w:t xml:space="preserve">(Fisher </w:t>
      </w:r>
      <w:r w:rsidR="00B750CC">
        <w:rPr>
          <w:color w:val="auto"/>
        </w:rPr>
        <w:t>&amp;</w:t>
      </w:r>
      <w:r w:rsidR="00B750CC" w:rsidRPr="00562388">
        <w:rPr>
          <w:color w:val="auto"/>
        </w:rPr>
        <w:t xml:space="preserve"> Scott, 2011).</w:t>
      </w:r>
      <w:r w:rsidR="00CB0B17" w:rsidRPr="00562388">
        <w:rPr>
          <w:color w:val="auto"/>
        </w:rPr>
        <w:t xml:space="preserve">. Indeed, only 5% of African youth succeed in any form of </w:t>
      </w:r>
      <w:r w:rsidR="0029117F">
        <w:rPr>
          <w:color w:val="auto"/>
        </w:rPr>
        <w:t>Higher Education</w:t>
      </w:r>
      <w:r w:rsidR="00B750CC">
        <w:rPr>
          <w:color w:val="auto"/>
        </w:rPr>
        <w:t xml:space="preserve"> (</w:t>
      </w:r>
      <w:r w:rsidR="00B750CC" w:rsidRPr="00300B98">
        <w:rPr>
          <w:i/>
          <w:color w:val="auto"/>
        </w:rPr>
        <w:t>ibid</w:t>
      </w:r>
      <w:r w:rsidR="00B750CC">
        <w:rPr>
          <w:color w:val="auto"/>
        </w:rPr>
        <w:t>)</w:t>
      </w:r>
      <w:r w:rsidR="00CB0B17" w:rsidRPr="00562388">
        <w:rPr>
          <w:color w:val="auto"/>
        </w:rPr>
        <w:t xml:space="preserve"> The 2014 White Paper for Post School Education and Training</w:t>
      </w:r>
      <w:r w:rsidR="00CB0B17">
        <w:rPr>
          <w:color w:val="auto"/>
        </w:rPr>
        <w:t xml:space="preserve"> (DHET, 2013)</w:t>
      </w:r>
      <w:r w:rsidR="00CB0B17" w:rsidRPr="00562388">
        <w:rPr>
          <w:color w:val="auto"/>
        </w:rPr>
        <w:t xml:space="preserve"> links access tightly to the possibility of success</w:t>
      </w:r>
      <w:r w:rsidR="00CB0B17">
        <w:rPr>
          <w:color w:val="auto"/>
        </w:rPr>
        <w:t xml:space="preserve">, </w:t>
      </w:r>
      <w:r w:rsidR="00CB0B17" w:rsidRPr="00562388">
        <w:rPr>
          <w:color w:val="auto"/>
        </w:rPr>
        <w:t>inferring that there is no point in increasing access without seriously improving</w:t>
      </w:r>
      <w:r w:rsidR="006046F7">
        <w:rPr>
          <w:color w:val="auto"/>
        </w:rPr>
        <w:t xml:space="preserve"> chances of</w:t>
      </w:r>
      <w:r w:rsidR="00CB0B17" w:rsidRPr="00562388">
        <w:rPr>
          <w:color w:val="auto"/>
        </w:rPr>
        <w:t xml:space="preserve"> success. At the same time</w:t>
      </w:r>
      <w:r w:rsidR="00CB0B17">
        <w:rPr>
          <w:color w:val="auto"/>
        </w:rPr>
        <w:t>,</w:t>
      </w:r>
      <w:r w:rsidR="00CB0B17" w:rsidRPr="00562388">
        <w:rPr>
          <w:color w:val="auto"/>
        </w:rPr>
        <w:t xml:space="preserve"> there is an emphasis on ensuring that the country finds ways to cater to the needs of the millions of adults and youth who are unemployed, poorly educated and not studying (</w:t>
      </w:r>
      <w:r w:rsidR="00CB0B17">
        <w:rPr>
          <w:color w:val="auto"/>
        </w:rPr>
        <w:t>p</w:t>
      </w:r>
      <w:r w:rsidR="00CB0B17" w:rsidRPr="00562388">
        <w:rPr>
          <w:color w:val="auto"/>
        </w:rPr>
        <w:t>.20).</w:t>
      </w:r>
    </w:p>
    <w:p w14:paraId="321F6121" w14:textId="77777777" w:rsidR="008A3C4C" w:rsidRDefault="008A3C4C" w:rsidP="00942182">
      <w:pPr>
        <w:pStyle w:val="NoSpacing"/>
        <w:rPr>
          <w:color w:val="auto"/>
        </w:rPr>
      </w:pPr>
    </w:p>
    <w:p w14:paraId="78DDF677" w14:textId="21F043F1" w:rsidR="00942182" w:rsidRPr="00562388" w:rsidRDefault="00005D9F" w:rsidP="00942182">
      <w:pPr>
        <w:pStyle w:val="NoSpacing"/>
        <w:rPr>
          <w:color w:val="auto"/>
        </w:rPr>
      </w:pPr>
      <w:r>
        <w:rPr>
          <w:color w:val="auto"/>
        </w:rPr>
        <w:t xml:space="preserve">The worldwide trends in the expansion of </w:t>
      </w:r>
      <w:r w:rsidR="0029117F">
        <w:rPr>
          <w:color w:val="auto"/>
        </w:rPr>
        <w:t>Higher Education</w:t>
      </w:r>
      <w:r>
        <w:rPr>
          <w:color w:val="auto"/>
        </w:rPr>
        <w:t xml:space="preserve"> </w:t>
      </w:r>
      <w:r w:rsidR="00942182" w:rsidRPr="00562388">
        <w:rPr>
          <w:color w:val="auto"/>
        </w:rPr>
        <w:t>are amplified in Africa where the student population triple</w:t>
      </w:r>
      <w:r w:rsidR="00942182">
        <w:rPr>
          <w:color w:val="auto"/>
        </w:rPr>
        <w:t>d</w:t>
      </w:r>
      <w:r w:rsidR="00942182" w:rsidRPr="00562388">
        <w:rPr>
          <w:color w:val="auto"/>
        </w:rPr>
        <w:t xml:space="preserve"> from 2.7 million in 1991 to 9.3 million in 2006. A projection suggests that the entire continent will have between 18 million and 20 million students by 2015 (World Bank, 2010). At the same time there has been</w:t>
      </w:r>
      <w:r w:rsidR="00942182">
        <w:rPr>
          <w:color w:val="auto"/>
        </w:rPr>
        <w:t xml:space="preserve"> serious</w:t>
      </w:r>
      <w:r w:rsidR="00942182" w:rsidRPr="00562388">
        <w:rPr>
          <w:color w:val="auto"/>
        </w:rPr>
        <w:t xml:space="preserve"> government underfunding of </w:t>
      </w:r>
      <w:r w:rsidR="0029117F">
        <w:rPr>
          <w:color w:val="auto"/>
        </w:rPr>
        <w:t>Higher Education</w:t>
      </w:r>
      <w:r w:rsidR="00942182" w:rsidRPr="00562388">
        <w:rPr>
          <w:color w:val="auto"/>
        </w:rPr>
        <w:t xml:space="preserve"> with a concomitant expansion of private education providers. </w:t>
      </w:r>
      <w:r w:rsidR="00942182">
        <w:rPr>
          <w:color w:val="auto"/>
        </w:rPr>
        <w:t>Many of the f</w:t>
      </w:r>
      <w:r w:rsidR="00942182" w:rsidRPr="00562388">
        <w:rPr>
          <w:color w:val="auto"/>
        </w:rPr>
        <w:t xml:space="preserve">or-profit private institutions </w:t>
      </w:r>
      <w:r w:rsidR="00942182">
        <w:rPr>
          <w:color w:val="auto"/>
        </w:rPr>
        <w:t>have targeted the high end lucrative business and professionally</w:t>
      </w:r>
      <w:r w:rsidR="00B750CC">
        <w:rPr>
          <w:color w:val="auto"/>
        </w:rPr>
        <w:t>-</w:t>
      </w:r>
      <w:r w:rsidR="00942182">
        <w:rPr>
          <w:color w:val="auto"/>
        </w:rPr>
        <w:t xml:space="preserve">oriented educational markets. As a result, traditional public universities are being outcompeted </w:t>
      </w:r>
      <w:r w:rsidR="00942182" w:rsidRPr="00562388">
        <w:rPr>
          <w:color w:val="auto"/>
        </w:rPr>
        <w:t>in respect of some high-paying courses and programmes that the public institutions could use to augment their income earning capacity (Jegede</w:t>
      </w:r>
      <w:r w:rsidR="00942182">
        <w:rPr>
          <w:color w:val="auto"/>
        </w:rPr>
        <w:t xml:space="preserve">, </w:t>
      </w:r>
      <w:r w:rsidR="00942182" w:rsidRPr="00562388">
        <w:rPr>
          <w:color w:val="auto"/>
        </w:rPr>
        <w:t>2012).</w:t>
      </w:r>
      <w:r w:rsidR="006046F7">
        <w:rPr>
          <w:color w:val="auto"/>
        </w:rPr>
        <w:t xml:space="preserve"> Providing reasonably</w:t>
      </w:r>
      <w:r w:rsidR="00B750CC">
        <w:rPr>
          <w:color w:val="auto"/>
        </w:rPr>
        <w:t xml:space="preserve"> </w:t>
      </w:r>
      <w:r w:rsidR="006046F7">
        <w:rPr>
          <w:color w:val="auto"/>
        </w:rPr>
        <w:t>priced</w:t>
      </w:r>
      <w:r w:rsidR="00B750CC">
        <w:rPr>
          <w:color w:val="auto"/>
        </w:rPr>
        <w:t>,</w:t>
      </w:r>
      <w:r w:rsidR="006046F7">
        <w:rPr>
          <w:color w:val="auto"/>
        </w:rPr>
        <w:t xml:space="preserve"> good quality education in resource-constrained conditions is the challenge in Africa, as elsewhere.</w:t>
      </w:r>
    </w:p>
    <w:p w14:paraId="76453E5F" w14:textId="77777777" w:rsidR="00942182" w:rsidRPr="00562388" w:rsidRDefault="00942182" w:rsidP="00942182">
      <w:pPr>
        <w:pStyle w:val="NoSpacing"/>
        <w:rPr>
          <w:color w:val="auto"/>
        </w:rPr>
      </w:pPr>
      <w:r w:rsidRPr="00562388">
        <w:rPr>
          <w:color w:val="auto"/>
        </w:rPr>
        <w:t xml:space="preserve"> </w:t>
      </w:r>
    </w:p>
    <w:p w14:paraId="5976A830" w14:textId="0CB9DE56" w:rsidR="00504A53" w:rsidRPr="00504A53" w:rsidRDefault="00C442DD" w:rsidP="00504A53">
      <w:pPr>
        <w:pStyle w:val="NoSpacing"/>
        <w:rPr>
          <w:color w:val="auto"/>
        </w:rPr>
      </w:pPr>
      <w:r>
        <w:rPr>
          <w:color w:val="auto"/>
        </w:rPr>
        <w:t xml:space="preserve">In this environment MOOCs and online education inevitably are being considered as possible strategies for addressing local challenges. </w:t>
      </w:r>
      <w:r w:rsidR="00942182" w:rsidRPr="00562388">
        <w:rPr>
          <w:color w:val="auto"/>
        </w:rPr>
        <w:t>This need to respond may be particularly acute for the more established research universities who are active participants in global university networks, while at the same time confronting local so</w:t>
      </w:r>
      <w:r w:rsidR="0093380A">
        <w:rPr>
          <w:color w:val="auto"/>
        </w:rPr>
        <w:t xml:space="preserve">cial and economic imperatives. </w:t>
      </w:r>
      <w:r w:rsidR="00563600">
        <w:rPr>
          <w:color w:val="auto"/>
        </w:rPr>
        <w:t>T</w:t>
      </w:r>
      <w:r w:rsidR="00EE630E">
        <w:rPr>
          <w:color w:val="auto"/>
        </w:rPr>
        <w:t xml:space="preserve">he </w:t>
      </w:r>
      <w:r w:rsidR="0093380A">
        <w:rPr>
          <w:color w:val="auto"/>
        </w:rPr>
        <w:t>South Africa</w:t>
      </w:r>
      <w:r w:rsidR="00EE630E">
        <w:rPr>
          <w:color w:val="auto"/>
        </w:rPr>
        <w:t xml:space="preserve">n </w:t>
      </w:r>
      <w:r w:rsidR="0029117F">
        <w:rPr>
          <w:color w:val="auto"/>
        </w:rPr>
        <w:t>Higher Education</w:t>
      </w:r>
      <w:r w:rsidR="00EE630E">
        <w:rPr>
          <w:color w:val="auto"/>
        </w:rPr>
        <w:t xml:space="preserve"> sector </w:t>
      </w:r>
      <w:r w:rsidR="0093380A">
        <w:rPr>
          <w:color w:val="auto"/>
        </w:rPr>
        <w:t xml:space="preserve">has only one </w:t>
      </w:r>
      <w:r w:rsidR="005E6E33">
        <w:rPr>
          <w:color w:val="auto"/>
        </w:rPr>
        <w:t xml:space="preserve">dedicated </w:t>
      </w:r>
      <w:r w:rsidR="0093380A">
        <w:rPr>
          <w:color w:val="auto"/>
        </w:rPr>
        <w:t>distance education provider (albeit one of the world’s largest with over 300</w:t>
      </w:r>
      <w:r w:rsidR="00964B19">
        <w:rPr>
          <w:color w:val="auto"/>
        </w:rPr>
        <w:t xml:space="preserve"> </w:t>
      </w:r>
      <w:r w:rsidR="0093380A">
        <w:rPr>
          <w:color w:val="auto"/>
        </w:rPr>
        <w:t>000 students) and next to</w:t>
      </w:r>
      <w:r w:rsidR="00EE630E">
        <w:rPr>
          <w:color w:val="auto"/>
        </w:rPr>
        <w:t xml:space="preserve"> no experience of online education. In addition, connectivity and bandwidth limitations have been serious constraints: only 17.4% of the population are Internet users (according to </w:t>
      </w:r>
      <w:r w:rsidR="00EE630E" w:rsidRPr="00D04205">
        <w:t>http://www.internetworldstats.com/stats1.htm</w:t>
      </w:r>
      <w:r w:rsidR="00E3099D">
        <w:rPr>
          <w:color w:val="auto"/>
        </w:rPr>
        <w:t>). The situation in universities</w:t>
      </w:r>
      <w:r w:rsidR="00EE630E">
        <w:rPr>
          <w:color w:val="auto"/>
        </w:rPr>
        <w:t xml:space="preserve"> is much better, </w:t>
      </w:r>
      <w:r w:rsidR="00504A53">
        <w:rPr>
          <w:color w:val="auto"/>
        </w:rPr>
        <w:t xml:space="preserve">as </w:t>
      </w:r>
      <w:r w:rsidR="00504A53" w:rsidRPr="00D460D1">
        <w:rPr>
          <w:color w:val="auto"/>
        </w:rPr>
        <w:t>South African universities now have enough uncongested bandwidth</w:t>
      </w:r>
      <w:r w:rsidR="006046F7">
        <w:rPr>
          <w:color w:val="auto"/>
        </w:rPr>
        <w:t>, with most ha</w:t>
      </w:r>
      <w:r w:rsidR="002231B2">
        <w:rPr>
          <w:color w:val="auto"/>
        </w:rPr>
        <w:t>v</w:t>
      </w:r>
      <w:r w:rsidR="005E6E33">
        <w:rPr>
          <w:color w:val="auto"/>
        </w:rPr>
        <w:t>ing</w:t>
      </w:r>
      <w:r w:rsidR="006046F7">
        <w:rPr>
          <w:color w:val="auto"/>
        </w:rPr>
        <w:t xml:space="preserve"> the Gigabit speed now </w:t>
      </w:r>
      <w:r w:rsidR="00504A53" w:rsidRPr="00D460D1">
        <w:rPr>
          <w:color w:val="auto"/>
        </w:rPr>
        <w:t>typical</w:t>
      </w:r>
      <w:r w:rsidR="006046F7">
        <w:rPr>
          <w:color w:val="auto"/>
        </w:rPr>
        <w:t xml:space="preserve"> of</w:t>
      </w:r>
      <w:r w:rsidR="00504A53" w:rsidRPr="00D460D1">
        <w:rPr>
          <w:color w:val="auto"/>
        </w:rPr>
        <w:t xml:space="preserve"> European universit</w:t>
      </w:r>
      <w:r w:rsidR="006046F7">
        <w:rPr>
          <w:color w:val="auto"/>
        </w:rPr>
        <w:t>ies</w:t>
      </w:r>
      <w:r w:rsidR="00504A53">
        <w:rPr>
          <w:color w:val="auto"/>
        </w:rPr>
        <w:t xml:space="preserve">. (Greaves pers comm, 2014, </w:t>
      </w:r>
      <w:r w:rsidR="00504A53" w:rsidRPr="00504A53">
        <w:rPr>
          <w:color w:val="auto"/>
        </w:rPr>
        <w:t xml:space="preserve"> </w:t>
      </w:r>
      <w:r w:rsidR="00504A53" w:rsidRPr="00D04205">
        <w:rPr>
          <w:i/>
          <w:iCs/>
        </w:rPr>
        <w:t>See</w:t>
      </w:r>
      <w:r w:rsidR="00D04205">
        <w:t xml:space="preserve"> </w:t>
      </w:r>
      <w:r w:rsidR="00094459" w:rsidRPr="00D04205">
        <w:rPr>
          <w:color w:val="auto"/>
        </w:rPr>
        <w:t>http://graphs.tenet.ac.za</w:t>
      </w:r>
      <w:r w:rsidR="00094459" w:rsidRPr="00D04205">
        <w:t xml:space="preserve"> </w:t>
      </w:r>
      <w:r w:rsidR="00094459">
        <w:t xml:space="preserve"> and </w:t>
      </w:r>
      <w:r w:rsidR="00504A53" w:rsidRPr="00D04205">
        <w:t>http://www.terena.org/publications/files/TERENA-Compendium-2013.pdf</w:t>
      </w:r>
      <w:r w:rsidR="00504A53">
        <w:rPr>
          <w:color w:val="auto"/>
        </w:rPr>
        <w:t>).</w:t>
      </w:r>
    </w:p>
    <w:p w14:paraId="381F2602" w14:textId="77777777" w:rsidR="00504A53" w:rsidRDefault="00504A53" w:rsidP="00942182">
      <w:pPr>
        <w:pStyle w:val="NoSpacing"/>
        <w:rPr>
          <w:color w:val="auto"/>
        </w:rPr>
      </w:pPr>
    </w:p>
    <w:p w14:paraId="1E01FC23" w14:textId="51933A2B" w:rsidR="0015234D" w:rsidRDefault="00964B19" w:rsidP="00942182">
      <w:pPr>
        <w:pStyle w:val="NoSpacing"/>
        <w:rPr>
          <w:color w:val="auto"/>
        </w:rPr>
      </w:pPr>
      <w:r>
        <w:rPr>
          <w:color w:val="auto"/>
        </w:rPr>
        <w:t xml:space="preserve">Like many universities globally, South African university leaders and those responsible for course, curriculum and </w:t>
      </w:r>
      <w:r w:rsidR="00563600">
        <w:rPr>
          <w:color w:val="auto"/>
        </w:rPr>
        <w:t>l</w:t>
      </w:r>
      <w:r>
        <w:rPr>
          <w:color w:val="auto"/>
        </w:rPr>
        <w:t xml:space="preserve">earning technology development are </w:t>
      </w:r>
      <w:r w:rsidR="00D4179D">
        <w:rPr>
          <w:color w:val="auto"/>
        </w:rPr>
        <w:t xml:space="preserve">coming </w:t>
      </w:r>
      <w:r>
        <w:rPr>
          <w:color w:val="auto"/>
        </w:rPr>
        <w:t>to grips with the implications and possibilities</w:t>
      </w:r>
      <w:r w:rsidR="00294E5B">
        <w:rPr>
          <w:color w:val="auto"/>
        </w:rPr>
        <w:t xml:space="preserve"> of online and open education </w:t>
      </w:r>
      <w:r>
        <w:rPr>
          <w:color w:val="auto"/>
        </w:rPr>
        <w:t xml:space="preserve">for their own institutions. Fortunately, and despite </w:t>
      </w:r>
      <w:r w:rsidRPr="00562388">
        <w:rPr>
          <w:color w:val="auto"/>
        </w:rPr>
        <w:t xml:space="preserve">journalistic assertions to the contrary, MOOCs did not arrive newly imagined and perfectly formed in 2012 when the </w:t>
      </w:r>
      <w:r w:rsidRPr="00582900">
        <w:rPr>
          <w:i/>
          <w:color w:val="auto"/>
        </w:rPr>
        <w:t>New York Times</w:t>
      </w:r>
      <w:r w:rsidRPr="00562388">
        <w:rPr>
          <w:color w:val="auto"/>
        </w:rPr>
        <w:t xml:space="preserve"> declared it “the year of the MOOC” (Pappano</w:t>
      </w:r>
      <w:r>
        <w:rPr>
          <w:color w:val="auto"/>
        </w:rPr>
        <w:t>,</w:t>
      </w:r>
      <w:r w:rsidRPr="00562388">
        <w:rPr>
          <w:color w:val="auto"/>
        </w:rPr>
        <w:t xml:space="preserve"> 2012).</w:t>
      </w:r>
      <w:r>
        <w:rPr>
          <w:color w:val="auto"/>
        </w:rPr>
        <w:t xml:space="preserve"> </w:t>
      </w:r>
      <w:r w:rsidR="0015234D">
        <w:rPr>
          <w:color w:val="auto"/>
        </w:rPr>
        <w:t xml:space="preserve"> The first MOOC recorded came into existence in 2008 (</w:t>
      </w:r>
      <w:r w:rsidR="0015234D" w:rsidRPr="00562388">
        <w:rPr>
          <w:color w:val="auto"/>
        </w:rPr>
        <w:t>an</w:t>
      </w:r>
      <w:r w:rsidR="0015234D">
        <w:rPr>
          <w:color w:val="auto"/>
        </w:rPr>
        <w:t xml:space="preserve"> open boundary course , </w:t>
      </w:r>
      <w:r w:rsidR="0015234D" w:rsidRPr="00562388">
        <w:rPr>
          <w:i/>
          <w:color w:val="auto"/>
        </w:rPr>
        <w:t>Connectivism and Connective Knowledge</w:t>
      </w:r>
      <w:r w:rsidR="0015234D" w:rsidRPr="00562388">
        <w:rPr>
          <w:color w:val="auto"/>
        </w:rPr>
        <w:t>)</w:t>
      </w:r>
      <w:r w:rsidR="0015234D">
        <w:rPr>
          <w:color w:val="auto"/>
        </w:rPr>
        <w:t xml:space="preserve">; more </w:t>
      </w:r>
      <w:r w:rsidR="0015234D">
        <w:rPr>
          <w:color w:val="auto"/>
        </w:rPr>
        <w:lastRenderedPageBreak/>
        <w:t>importantly there has been solid research and robust online education professional experience for the last twenty years, all of which can be drawn on in the present (see Bates</w:t>
      </w:r>
      <w:r w:rsidR="00563600">
        <w:rPr>
          <w:color w:val="auto"/>
        </w:rPr>
        <w:t xml:space="preserve">, </w:t>
      </w:r>
      <w:r w:rsidR="0015234D">
        <w:rPr>
          <w:color w:val="auto"/>
        </w:rPr>
        <w:t>2012 fo</w:t>
      </w:r>
      <w:r w:rsidR="001B5D42">
        <w:rPr>
          <w:color w:val="auto"/>
        </w:rPr>
        <w:t xml:space="preserve">r an expansion of this point). </w:t>
      </w:r>
    </w:p>
    <w:p w14:paraId="4D328349" w14:textId="77777777" w:rsidR="00F93ABB" w:rsidRDefault="00F93ABB" w:rsidP="00BE1970">
      <w:pPr>
        <w:pStyle w:val="NoSpacing"/>
        <w:rPr>
          <w:color w:val="auto"/>
        </w:rPr>
      </w:pPr>
    </w:p>
    <w:p w14:paraId="25E366AE" w14:textId="182B74EA" w:rsidR="00222443" w:rsidRDefault="00F93ABB" w:rsidP="00F93ABB">
      <w:pPr>
        <w:pStyle w:val="NoSpacing"/>
        <w:rPr>
          <w:color w:val="auto"/>
        </w:rPr>
      </w:pPr>
      <w:r>
        <w:rPr>
          <w:color w:val="auto"/>
        </w:rPr>
        <w:t xml:space="preserve">We have a particular interest in how the MOOC landscape </w:t>
      </w:r>
      <w:r w:rsidR="00294E5B">
        <w:rPr>
          <w:color w:val="auto"/>
        </w:rPr>
        <w:t>is formed</w:t>
      </w:r>
      <w:r>
        <w:rPr>
          <w:color w:val="auto"/>
        </w:rPr>
        <w:t xml:space="preserve"> given the </w:t>
      </w:r>
      <w:r w:rsidR="00325329">
        <w:rPr>
          <w:color w:val="auto"/>
        </w:rPr>
        <w:t xml:space="preserve">threat </w:t>
      </w:r>
      <w:r>
        <w:rPr>
          <w:color w:val="auto"/>
        </w:rPr>
        <w:t xml:space="preserve">that </w:t>
      </w:r>
      <w:r w:rsidR="00EC7928">
        <w:rPr>
          <w:color w:val="auto"/>
        </w:rPr>
        <w:t>the</w:t>
      </w:r>
      <w:r w:rsidR="00294E5B">
        <w:rPr>
          <w:color w:val="auto"/>
        </w:rPr>
        <w:t xml:space="preserve"> current shape of the system</w:t>
      </w:r>
      <w:r w:rsidR="00EC7928">
        <w:rPr>
          <w:color w:val="auto"/>
        </w:rPr>
        <w:t xml:space="preserve"> pose</w:t>
      </w:r>
      <w:r w:rsidR="00294E5B">
        <w:rPr>
          <w:color w:val="auto"/>
        </w:rPr>
        <w:t>s</w:t>
      </w:r>
      <w:r w:rsidR="00EC7928">
        <w:rPr>
          <w:color w:val="auto"/>
        </w:rPr>
        <w:t xml:space="preserve"> to a heterogeneous diversified global knowledge system. </w:t>
      </w:r>
      <w:r w:rsidR="00D460D1">
        <w:rPr>
          <w:color w:val="auto"/>
        </w:rPr>
        <w:t xml:space="preserve">With free courses </w:t>
      </w:r>
      <w:r w:rsidR="00516EA6">
        <w:rPr>
          <w:color w:val="auto"/>
        </w:rPr>
        <w:t xml:space="preserve">offered by providers in the global north and taken up </w:t>
      </w:r>
      <w:r w:rsidR="00376BA6">
        <w:rPr>
          <w:color w:val="auto"/>
        </w:rPr>
        <w:t>on every continent</w:t>
      </w:r>
      <w:r w:rsidR="00516EA6">
        <w:rPr>
          <w:color w:val="auto"/>
        </w:rPr>
        <w:t xml:space="preserve"> (</w:t>
      </w:r>
      <w:r w:rsidR="001F4E8A">
        <w:rPr>
          <w:color w:val="auto"/>
        </w:rPr>
        <w:t>Olds</w:t>
      </w:r>
      <w:r w:rsidR="00563600">
        <w:rPr>
          <w:color w:val="auto"/>
        </w:rPr>
        <w:t xml:space="preserve">, </w:t>
      </w:r>
      <w:r w:rsidR="001F4E8A">
        <w:rPr>
          <w:color w:val="auto"/>
        </w:rPr>
        <w:t>2013</w:t>
      </w:r>
      <w:r w:rsidR="00516EA6">
        <w:rPr>
          <w:color w:val="auto"/>
        </w:rPr>
        <w:t>)</w:t>
      </w:r>
      <w:r w:rsidR="00D460D1">
        <w:rPr>
          <w:color w:val="auto"/>
        </w:rPr>
        <w:t xml:space="preserve"> there is a danger of the </w:t>
      </w:r>
      <w:r w:rsidR="001F4E8A">
        <w:rPr>
          <w:color w:val="auto"/>
        </w:rPr>
        <w:t xml:space="preserve">current </w:t>
      </w:r>
      <w:r w:rsidR="00D460D1">
        <w:rPr>
          <w:color w:val="auto"/>
        </w:rPr>
        <w:t>hegemony of western knowledge systems being further entrenched</w:t>
      </w:r>
      <w:r w:rsidR="00516EA6">
        <w:rPr>
          <w:color w:val="auto"/>
        </w:rPr>
        <w:t xml:space="preserve"> across the world</w:t>
      </w:r>
      <w:r w:rsidR="00D460D1">
        <w:rPr>
          <w:color w:val="auto"/>
        </w:rPr>
        <w:t xml:space="preserve">. </w:t>
      </w:r>
      <w:r w:rsidR="00222443">
        <w:rPr>
          <w:color w:val="auto"/>
        </w:rPr>
        <w:t>The core-to-periphery guise of the current MOOC system is unacceptable</w:t>
      </w:r>
      <w:r w:rsidR="00C346CE">
        <w:rPr>
          <w:color w:val="auto"/>
        </w:rPr>
        <w:t xml:space="preserve">, as is the cynical view of the global south as a solution to the crisis of </w:t>
      </w:r>
      <w:r w:rsidR="0029117F">
        <w:rPr>
          <w:color w:val="auto"/>
        </w:rPr>
        <w:t>Higher Education</w:t>
      </w:r>
      <w:r w:rsidR="00C346CE">
        <w:rPr>
          <w:color w:val="auto"/>
        </w:rPr>
        <w:t xml:space="preserve"> in the global north</w:t>
      </w:r>
      <w:r w:rsidR="004655E4">
        <w:rPr>
          <w:color w:val="auto"/>
        </w:rPr>
        <w:t xml:space="preserve"> (Sharpe</w:t>
      </w:r>
      <w:r w:rsidR="00563600">
        <w:rPr>
          <w:color w:val="auto"/>
        </w:rPr>
        <w:t>,</w:t>
      </w:r>
      <w:r w:rsidR="004655E4">
        <w:rPr>
          <w:color w:val="auto"/>
        </w:rPr>
        <w:t xml:space="preserve"> 2013)</w:t>
      </w:r>
      <w:r w:rsidR="00222443">
        <w:rPr>
          <w:color w:val="auto"/>
        </w:rPr>
        <w:t xml:space="preserve">. </w:t>
      </w:r>
      <w:r w:rsidR="00D460D1">
        <w:rPr>
          <w:color w:val="auto"/>
        </w:rPr>
        <w:t>Of particular concern is that most MOOC platforms and courses (with some exceptions) are designed for consumptio</w:t>
      </w:r>
      <w:r w:rsidR="004A0062">
        <w:rPr>
          <w:color w:val="auto"/>
        </w:rPr>
        <w:t xml:space="preserve">n rather than adaptation, with most being available </w:t>
      </w:r>
      <w:r w:rsidR="00376BA6">
        <w:rPr>
          <w:color w:val="auto"/>
        </w:rPr>
        <w:t xml:space="preserve">only </w:t>
      </w:r>
      <w:r w:rsidR="004A0062">
        <w:rPr>
          <w:color w:val="auto"/>
        </w:rPr>
        <w:t>under full copyright; most also demand that</w:t>
      </w:r>
      <w:r w:rsidR="00CD4626">
        <w:rPr>
          <w:color w:val="auto"/>
        </w:rPr>
        <w:t xml:space="preserve"> they keep the copyright in user-</w:t>
      </w:r>
      <w:r w:rsidR="004A0062">
        <w:rPr>
          <w:color w:val="auto"/>
        </w:rPr>
        <w:t>generated content and some even specify that this would include commercial rights</w:t>
      </w:r>
      <w:r w:rsidR="00222443">
        <w:rPr>
          <w:color w:val="auto"/>
        </w:rPr>
        <w:t xml:space="preserve"> </w:t>
      </w:r>
      <w:r w:rsidR="004A0062">
        <w:rPr>
          <w:color w:val="auto"/>
        </w:rPr>
        <w:t xml:space="preserve"> Thus local context-specific content would be out of</w:t>
      </w:r>
      <w:r w:rsidR="00D4179D">
        <w:rPr>
          <w:color w:val="auto"/>
        </w:rPr>
        <w:t xml:space="preserve"> the hands of its creators</w:t>
      </w:r>
      <w:r w:rsidR="00222443">
        <w:rPr>
          <w:color w:val="auto"/>
        </w:rPr>
        <w:t xml:space="preserve"> (Cheverie 2013, Czerniewicz and Naidoo</w:t>
      </w:r>
      <w:r w:rsidR="00563600">
        <w:rPr>
          <w:color w:val="auto"/>
        </w:rPr>
        <w:t>,</w:t>
      </w:r>
      <w:r w:rsidR="00222443">
        <w:rPr>
          <w:color w:val="auto"/>
        </w:rPr>
        <w:t xml:space="preserve"> 2013). </w:t>
      </w:r>
    </w:p>
    <w:p w14:paraId="1FE6EEEA" w14:textId="77777777" w:rsidR="00222443" w:rsidRDefault="00222443" w:rsidP="00F93ABB">
      <w:pPr>
        <w:pStyle w:val="NoSpacing"/>
        <w:rPr>
          <w:color w:val="auto"/>
        </w:rPr>
      </w:pPr>
    </w:p>
    <w:p w14:paraId="79684858" w14:textId="5A5E7929" w:rsidR="00F93ABB" w:rsidRDefault="00A24CF3" w:rsidP="00BE1970">
      <w:pPr>
        <w:pStyle w:val="NoSpacing"/>
        <w:rPr>
          <w:color w:val="auto"/>
        </w:rPr>
      </w:pPr>
      <w:r>
        <w:rPr>
          <w:color w:val="auto"/>
        </w:rPr>
        <w:t xml:space="preserve">We are mindful too that the MOOC space is a contested one where discourses of the global village and the global market place are being enacted in new forms. We align ourselves with those for whom MOOCs do offer an opportunity to grow a ‘global village” through the building of global </w:t>
      </w:r>
      <w:r w:rsidR="0044652B">
        <w:rPr>
          <w:color w:val="auto"/>
        </w:rPr>
        <w:t>academic</w:t>
      </w:r>
      <w:r>
        <w:rPr>
          <w:color w:val="auto"/>
        </w:rPr>
        <w:t xml:space="preserve"> communities, </w:t>
      </w:r>
      <w:r w:rsidR="0016141E">
        <w:rPr>
          <w:color w:val="auto"/>
        </w:rPr>
        <w:t>emphatically</w:t>
      </w:r>
      <w:r>
        <w:rPr>
          <w:color w:val="auto"/>
        </w:rPr>
        <w:t xml:space="preserve"> those developed for fair terms of engagement and respect for local contexts. </w:t>
      </w:r>
      <w:r w:rsidR="0016141E">
        <w:rPr>
          <w:color w:val="auto"/>
        </w:rPr>
        <w:t xml:space="preserve">We believe that the many MOOC offerings in existence do provide </w:t>
      </w:r>
      <w:r w:rsidR="00563600">
        <w:rPr>
          <w:color w:val="auto"/>
        </w:rPr>
        <w:t xml:space="preserve">such </w:t>
      </w:r>
      <w:r w:rsidR="0016141E">
        <w:rPr>
          <w:color w:val="auto"/>
        </w:rPr>
        <w:t>opportunities for</w:t>
      </w:r>
      <w:r w:rsidR="00051311">
        <w:rPr>
          <w:color w:val="auto"/>
        </w:rPr>
        <w:t xml:space="preserve"> universities in the global south</w:t>
      </w:r>
      <w:r w:rsidR="0016141E">
        <w:rPr>
          <w:color w:val="auto"/>
        </w:rPr>
        <w:t xml:space="preserve"> </w:t>
      </w:r>
      <w:r w:rsidR="00051311">
        <w:rPr>
          <w:color w:val="auto"/>
        </w:rPr>
        <w:t xml:space="preserve">and indeed </w:t>
      </w:r>
      <w:r w:rsidR="0008615D">
        <w:rPr>
          <w:color w:val="auto"/>
        </w:rPr>
        <w:t xml:space="preserve">those </w:t>
      </w:r>
      <w:r w:rsidR="00051311">
        <w:rPr>
          <w:color w:val="auto"/>
        </w:rPr>
        <w:t xml:space="preserve">outside of the power nodes </w:t>
      </w:r>
      <w:r w:rsidR="0044652B">
        <w:rPr>
          <w:color w:val="auto"/>
        </w:rPr>
        <w:t xml:space="preserve">of the </w:t>
      </w:r>
      <w:r w:rsidR="00051311">
        <w:rPr>
          <w:color w:val="auto"/>
        </w:rPr>
        <w:t xml:space="preserve">geographically redistributed knowledge society </w:t>
      </w:r>
      <w:r w:rsidR="00563600">
        <w:rPr>
          <w:color w:val="auto"/>
        </w:rPr>
        <w:t>(</w:t>
      </w:r>
      <w:r w:rsidR="0067569C">
        <w:rPr>
          <w:color w:val="auto"/>
        </w:rPr>
        <w:t>even within the global north</w:t>
      </w:r>
      <w:r w:rsidR="00563600">
        <w:rPr>
          <w:color w:val="auto"/>
        </w:rPr>
        <w:t>)</w:t>
      </w:r>
      <w:r w:rsidR="0067569C">
        <w:rPr>
          <w:color w:val="auto"/>
        </w:rPr>
        <w:t xml:space="preserve">.  </w:t>
      </w:r>
      <w:r w:rsidR="00325329">
        <w:rPr>
          <w:color w:val="auto"/>
        </w:rPr>
        <w:t>Accordingly</w:t>
      </w:r>
      <w:r w:rsidR="0067569C">
        <w:rPr>
          <w:color w:val="auto"/>
        </w:rPr>
        <w:t>, we believe that universities everywhere should be seriously considering developing and offering their own MOOCs, asserting their epistemologies and local content into the open online sphere.</w:t>
      </w:r>
    </w:p>
    <w:p w14:paraId="30AC40CB" w14:textId="77777777" w:rsidR="00D51110" w:rsidRDefault="00D51110" w:rsidP="001B6547">
      <w:pPr>
        <w:pStyle w:val="NoSpacing"/>
      </w:pPr>
    </w:p>
    <w:p w14:paraId="5B3E8A14" w14:textId="744D169A" w:rsidR="00D51110" w:rsidRPr="00562388" w:rsidRDefault="001B6547" w:rsidP="00D51110">
      <w:pPr>
        <w:pStyle w:val="NoSpacing"/>
        <w:rPr>
          <w:color w:val="auto"/>
        </w:rPr>
      </w:pPr>
      <w:r>
        <w:t>Now that the euphoria and hype has died down, we share the dawning realisation that “</w:t>
      </w:r>
      <w:r w:rsidRPr="0064390C">
        <w:t>MOOCs will eventually occupy a small but important niche as an alternative form of non-formal, continuing and open education</w:t>
      </w:r>
      <w:r>
        <w:t>” (Bates</w:t>
      </w:r>
      <w:r w:rsidR="0008615D">
        <w:t>,</w:t>
      </w:r>
      <w:r>
        <w:t xml:space="preserve"> 2014). </w:t>
      </w:r>
      <w:r w:rsidR="00D51110" w:rsidRPr="00562388">
        <w:rPr>
          <w:color w:val="auto"/>
        </w:rPr>
        <w:t xml:space="preserve">MOOCs in themselves are unlikely to ‘solve’ </w:t>
      </w:r>
      <w:r w:rsidR="0008615D">
        <w:rPr>
          <w:color w:val="auto"/>
        </w:rPr>
        <w:t xml:space="preserve">any of </w:t>
      </w:r>
      <w:r w:rsidR="00D51110" w:rsidRPr="00562388">
        <w:rPr>
          <w:color w:val="auto"/>
        </w:rPr>
        <w:t xml:space="preserve">the problems of </w:t>
      </w:r>
      <w:r w:rsidR="0029117F">
        <w:rPr>
          <w:color w:val="auto"/>
        </w:rPr>
        <w:t>Higher Education</w:t>
      </w:r>
      <w:r w:rsidR="00D51110" w:rsidRPr="00562388">
        <w:rPr>
          <w:color w:val="auto"/>
        </w:rPr>
        <w:t xml:space="preserve"> in the developing world</w:t>
      </w:r>
      <w:r w:rsidR="00D51110">
        <w:rPr>
          <w:color w:val="auto"/>
        </w:rPr>
        <w:t xml:space="preserve"> (Popenici, 2014; Altback, 2013). </w:t>
      </w:r>
      <w:r w:rsidR="00926C8D">
        <w:rPr>
          <w:color w:val="auto"/>
        </w:rPr>
        <w:t>R</w:t>
      </w:r>
      <w:r w:rsidR="00D51110" w:rsidRPr="00562388">
        <w:rPr>
          <w:color w:val="auto"/>
        </w:rPr>
        <w:t>esearch shows how poorly MOOCs serve those most in need (Straumsheim</w:t>
      </w:r>
      <w:r w:rsidR="00D51110">
        <w:rPr>
          <w:color w:val="auto"/>
        </w:rPr>
        <w:t>,</w:t>
      </w:r>
      <w:r w:rsidR="00D51110" w:rsidRPr="00562388">
        <w:rPr>
          <w:color w:val="auto"/>
        </w:rPr>
        <w:t xml:space="preserve"> 2013</w:t>
      </w:r>
      <w:r w:rsidR="00926C8D">
        <w:rPr>
          <w:color w:val="auto"/>
        </w:rPr>
        <w:t xml:space="preserve">; </w:t>
      </w:r>
      <w:r w:rsidR="00926C8D" w:rsidRPr="00300B98">
        <w:t>Hollands</w:t>
      </w:r>
      <w:r w:rsidR="00926C8D">
        <w:t xml:space="preserve"> &amp; </w:t>
      </w:r>
      <w:r w:rsidR="00926C8D" w:rsidRPr="00C33DB0">
        <w:t>Tirthali</w:t>
      </w:r>
      <w:r w:rsidR="00926C8D">
        <w:t>, 2014</w:t>
      </w:r>
      <w:r w:rsidR="00D51110" w:rsidRPr="00562388">
        <w:rPr>
          <w:color w:val="auto"/>
        </w:rPr>
        <w:t>).</w:t>
      </w:r>
      <w:r w:rsidR="00D51110">
        <w:rPr>
          <w:color w:val="auto"/>
        </w:rPr>
        <w:t xml:space="preserve"> </w:t>
      </w:r>
      <w:r w:rsidR="00D51110" w:rsidRPr="00562388">
        <w:rPr>
          <w:color w:val="auto"/>
        </w:rPr>
        <w:t>As most MOOCs presently provide no clear route to lower cost degrees, they remain in the</w:t>
      </w:r>
      <w:r w:rsidR="00D51110">
        <w:rPr>
          <w:color w:val="auto"/>
        </w:rPr>
        <w:t xml:space="preserve"> less constrained </w:t>
      </w:r>
      <w:r w:rsidR="00D51110" w:rsidRPr="00562388">
        <w:rPr>
          <w:color w:val="auto"/>
        </w:rPr>
        <w:t>non-formal education space</w:t>
      </w:r>
      <w:r w:rsidR="00D51110">
        <w:rPr>
          <w:color w:val="auto"/>
        </w:rPr>
        <w:t xml:space="preserve">.  However,  with increasing demand to find ways of creating financial sustainability there has been a </w:t>
      </w:r>
      <w:r w:rsidR="00D51110" w:rsidRPr="00562388" w:rsidDel="002B7228">
        <w:rPr>
          <w:color w:val="auto"/>
        </w:rPr>
        <w:t xml:space="preserve"> </w:t>
      </w:r>
      <w:r w:rsidR="00D51110" w:rsidRPr="00562388">
        <w:rPr>
          <w:color w:val="auto"/>
        </w:rPr>
        <w:t xml:space="preserve">flurry of activity to establish recognised alternative qualifications (such as </w:t>
      </w:r>
      <w:r w:rsidR="00D51110">
        <w:rPr>
          <w:color w:val="auto"/>
        </w:rPr>
        <w:t>Cour</w:t>
      </w:r>
      <w:r w:rsidR="0008615D">
        <w:rPr>
          <w:color w:val="auto"/>
        </w:rPr>
        <w:t>ser</w:t>
      </w:r>
      <w:r w:rsidR="00D51110">
        <w:rPr>
          <w:color w:val="auto"/>
        </w:rPr>
        <w:t>a’s Signature Track, edX’s verified Certificate of Achievement, FutureLearn’s Statement of Accomplishment</w:t>
      </w:r>
      <w:r w:rsidR="00D51110" w:rsidRPr="00562388">
        <w:rPr>
          <w:color w:val="auto"/>
        </w:rPr>
        <w:t xml:space="preserve">) </w:t>
      </w:r>
      <w:r w:rsidR="00D51110">
        <w:rPr>
          <w:color w:val="auto"/>
        </w:rPr>
        <w:t xml:space="preserve">which </w:t>
      </w:r>
      <w:r w:rsidR="00D51110" w:rsidRPr="00562388">
        <w:rPr>
          <w:color w:val="auto"/>
        </w:rPr>
        <w:t xml:space="preserve">nudges them into the grey </w:t>
      </w:r>
      <w:r w:rsidR="00325329">
        <w:rPr>
          <w:color w:val="auto"/>
        </w:rPr>
        <w:t>area</w:t>
      </w:r>
      <w:r w:rsidR="00325329" w:rsidRPr="00562388">
        <w:rPr>
          <w:color w:val="auto"/>
        </w:rPr>
        <w:t xml:space="preserve"> </w:t>
      </w:r>
      <w:r w:rsidR="00D51110" w:rsidRPr="00562388">
        <w:rPr>
          <w:color w:val="auto"/>
        </w:rPr>
        <w:t>between the non- formal and the forma</w:t>
      </w:r>
      <w:r w:rsidR="00D51110">
        <w:rPr>
          <w:color w:val="auto"/>
        </w:rPr>
        <w:t xml:space="preserve">l. </w:t>
      </w:r>
    </w:p>
    <w:p w14:paraId="09441568" w14:textId="77777777" w:rsidR="00D51110" w:rsidRDefault="00D51110" w:rsidP="001B6547">
      <w:pPr>
        <w:pStyle w:val="NoSpacing"/>
      </w:pPr>
    </w:p>
    <w:p w14:paraId="13F5FF17" w14:textId="175FF0F7" w:rsidR="0067569C" w:rsidRPr="00D61B89" w:rsidRDefault="0008615D" w:rsidP="0067569C">
      <w:pPr>
        <w:pStyle w:val="NoSpacing"/>
      </w:pPr>
      <w:r>
        <w:t xml:space="preserve">This paper </w:t>
      </w:r>
      <w:r w:rsidR="000136F2">
        <w:t>suggests how to</w:t>
      </w:r>
      <w:r>
        <w:t xml:space="preserve"> </w:t>
      </w:r>
      <w:r w:rsidR="001B6547">
        <w:t>mak</w:t>
      </w:r>
      <w:r w:rsidR="000136F2">
        <w:t>e</w:t>
      </w:r>
      <w:r w:rsidR="001B6547">
        <w:t xml:space="preserve"> sense of and plan for this niche, especially </w:t>
      </w:r>
      <w:r w:rsidR="001B6547" w:rsidRPr="00562388">
        <w:rPr>
          <w:color w:val="auto"/>
        </w:rPr>
        <w:t xml:space="preserve">from the point of view of a </w:t>
      </w:r>
      <w:r w:rsidR="001B6547">
        <w:rPr>
          <w:color w:val="auto"/>
        </w:rPr>
        <w:t xml:space="preserve">research-focussed </w:t>
      </w:r>
      <w:r w:rsidR="001B6547" w:rsidRPr="00562388">
        <w:rPr>
          <w:color w:val="auto"/>
        </w:rPr>
        <w:t xml:space="preserve">campus-based institution. Although we are located in a developing country, we believe that we offer a general lens and a way of assessing the challenges and opportunities posed by MOOCs for institutions, especially for those </w:t>
      </w:r>
      <w:r w:rsidR="001B6547">
        <w:rPr>
          <w:color w:val="auto"/>
        </w:rPr>
        <w:t>that</w:t>
      </w:r>
      <w:r w:rsidR="001B6547" w:rsidRPr="00562388">
        <w:rPr>
          <w:color w:val="auto"/>
        </w:rPr>
        <w:t xml:space="preserve"> h</w:t>
      </w:r>
      <w:r w:rsidR="001B6547">
        <w:rPr>
          <w:color w:val="auto"/>
        </w:rPr>
        <w:t xml:space="preserve">ave not been early adopters. </w:t>
      </w:r>
      <w:r w:rsidR="00D51110">
        <w:rPr>
          <w:color w:val="auto"/>
        </w:rPr>
        <w:t xml:space="preserve"> </w:t>
      </w:r>
      <w:r w:rsidR="0067569C">
        <w:rPr>
          <w:color w:val="auto"/>
        </w:rPr>
        <w:t xml:space="preserve">Given the complexities of the MOOC-scape, we provide a </w:t>
      </w:r>
      <w:r w:rsidR="000136F2">
        <w:rPr>
          <w:color w:val="auto"/>
        </w:rPr>
        <w:t xml:space="preserve">means for </w:t>
      </w:r>
      <w:r w:rsidR="0067569C">
        <w:rPr>
          <w:color w:val="auto"/>
        </w:rPr>
        <w:t>contextualising the options</w:t>
      </w:r>
      <w:r w:rsidR="0067569C" w:rsidRPr="00562388">
        <w:rPr>
          <w:color w:val="auto"/>
        </w:rPr>
        <w:t xml:space="preserve"> within an institutional landscape of educational provision</w:t>
      </w:r>
      <w:r w:rsidR="0067569C">
        <w:rPr>
          <w:color w:val="auto"/>
        </w:rPr>
        <w:t xml:space="preserve"> as possibilities for MOOC </w:t>
      </w:r>
      <w:r w:rsidR="00A732C0">
        <w:rPr>
          <w:color w:val="auto"/>
        </w:rPr>
        <w:t>creation, use and</w:t>
      </w:r>
      <w:r w:rsidR="0067569C">
        <w:rPr>
          <w:color w:val="auto"/>
        </w:rPr>
        <w:t xml:space="preserve"> </w:t>
      </w:r>
      <w:r w:rsidR="00A732C0">
        <w:rPr>
          <w:color w:val="auto"/>
        </w:rPr>
        <w:t>adaptation</w:t>
      </w:r>
      <w:r w:rsidR="0067569C">
        <w:rPr>
          <w:color w:val="auto"/>
        </w:rPr>
        <w:t>.</w:t>
      </w:r>
      <w:r w:rsidR="00A732C0">
        <w:rPr>
          <w:color w:val="auto"/>
        </w:rPr>
        <w:t xml:space="preserve"> </w:t>
      </w:r>
      <w:r w:rsidR="000136F2">
        <w:rPr>
          <w:color w:val="auto"/>
        </w:rPr>
        <w:t xml:space="preserve">This takes into account what </w:t>
      </w:r>
      <w:r w:rsidR="0067569C" w:rsidRPr="00562388">
        <w:rPr>
          <w:color w:val="auto"/>
        </w:rPr>
        <w:t xml:space="preserve">is currently available and </w:t>
      </w:r>
      <w:r w:rsidR="000136F2">
        <w:rPr>
          <w:color w:val="auto"/>
        </w:rPr>
        <w:t xml:space="preserve">identifies </w:t>
      </w:r>
      <w:r w:rsidR="0067569C" w:rsidRPr="00562388">
        <w:rPr>
          <w:color w:val="auto"/>
        </w:rPr>
        <w:t>what new opportunities can be explored. Refining this further, we categorise existing MOOCs that map to broad institutional interests</w:t>
      </w:r>
      <w:r w:rsidR="0067569C">
        <w:rPr>
          <w:color w:val="auto"/>
        </w:rPr>
        <w:t xml:space="preserve">, taking into account our particular context and </w:t>
      </w:r>
      <w:r w:rsidR="006C71D5">
        <w:rPr>
          <w:color w:val="auto"/>
        </w:rPr>
        <w:t>institutional</w:t>
      </w:r>
      <w:r w:rsidR="0067569C">
        <w:rPr>
          <w:color w:val="auto"/>
        </w:rPr>
        <w:t xml:space="preserve"> priorities</w:t>
      </w:r>
      <w:r w:rsidR="0067569C" w:rsidRPr="00562388">
        <w:rPr>
          <w:color w:val="auto"/>
        </w:rPr>
        <w:t>. These categories enable imagining the types of courses that would fit into an institutional landscape of educational provision. Finally</w:t>
      </w:r>
      <w:r w:rsidR="0067569C">
        <w:rPr>
          <w:color w:val="auto"/>
        </w:rPr>
        <w:t>,</w:t>
      </w:r>
      <w:r w:rsidR="0067569C" w:rsidRPr="00562388">
        <w:rPr>
          <w:color w:val="auto"/>
        </w:rPr>
        <w:t xml:space="preserve"> we consider how universities which have not yet engaged with MOOCs can take advantage of the opportunities of emerging forms of online learning with appropriate local responses.</w:t>
      </w:r>
    </w:p>
    <w:p w14:paraId="5F47D3B2" w14:textId="77777777" w:rsidR="00E975C4" w:rsidRPr="00562388" w:rsidRDefault="00E975C4" w:rsidP="00BE1970">
      <w:pPr>
        <w:pStyle w:val="NoSpacing"/>
        <w:rPr>
          <w:color w:val="auto"/>
        </w:rPr>
      </w:pPr>
    </w:p>
    <w:p w14:paraId="6191324C" w14:textId="77777777" w:rsidR="00F87614" w:rsidRDefault="00BF6E33">
      <w:pPr>
        <w:pStyle w:val="Title"/>
        <w:widowControl w:val="0"/>
        <w:contextualSpacing w:val="0"/>
        <w:rPr>
          <w:rFonts w:ascii="Century Gothic" w:hAnsi="Century Gothic"/>
          <w:b/>
          <w:color w:val="auto"/>
          <w:sz w:val="32"/>
        </w:rPr>
      </w:pPr>
      <w:bookmarkStart w:id="4" w:name="h.m6udq76e6z1d" w:colFirst="0" w:colLast="0"/>
      <w:bookmarkEnd w:id="4"/>
      <w:r>
        <w:rPr>
          <w:rFonts w:ascii="Century Gothic" w:hAnsi="Century Gothic"/>
          <w:b/>
          <w:color w:val="auto"/>
          <w:sz w:val="32"/>
        </w:rPr>
        <w:t>C</w:t>
      </w:r>
      <w:r w:rsidR="005B592A" w:rsidRPr="00562388">
        <w:rPr>
          <w:rFonts w:ascii="Century Gothic" w:hAnsi="Century Gothic"/>
          <w:b/>
          <w:color w:val="auto"/>
          <w:sz w:val="32"/>
        </w:rPr>
        <w:t>ourse and curriculum landscape</w:t>
      </w:r>
    </w:p>
    <w:p w14:paraId="1A437743" w14:textId="184FE5AE" w:rsidR="00D51110" w:rsidRDefault="001D2941" w:rsidP="00D51110">
      <w:pPr>
        <w:pStyle w:val="NoSpacing"/>
        <w:rPr>
          <w:color w:val="auto"/>
        </w:rPr>
      </w:pPr>
      <w:bookmarkStart w:id="5" w:name="h.v028rsktoooy" w:colFirst="0" w:colLast="0"/>
      <w:bookmarkStart w:id="6" w:name="h.ip0aq1boa7rz" w:colFirst="0" w:colLast="0"/>
      <w:bookmarkEnd w:id="5"/>
      <w:bookmarkEnd w:id="6"/>
      <w:r>
        <w:rPr>
          <w:color w:val="auto"/>
        </w:rPr>
        <w:t>A</w:t>
      </w:r>
      <w:r w:rsidR="00D51110" w:rsidRPr="00562388">
        <w:rPr>
          <w:color w:val="auto"/>
        </w:rPr>
        <w:t xml:space="preserve">cademics and decision makers in campus-based universities find themselves having to develop strategies for engaging with MOOCs, perhaps under pressure from platform providers or from university leadership. Unlike “the strategies of institutions secure in reputations of international significance” the responses of non-elite institutions will differ as they do not have “reputational capital to depend upon” (Marshall, 2013). How should institutions </w:t>
      </w:r>
      <w:r w:rsidR="00D51110">
        <w:rPr>
          <w:color w:val="auto"/>
        </w:rPr>
        <w:t>that</w:t>
      </w:r>
      <w:r w:rsidR="00D51110" w:rsidRPr="00562388">
        <w:rPr>
          <w:color w:val="auto"/>
        </w:rPr>
        <w:t xml:space="preserve"> are not early adopters or have the comfort of large endowments respond to engagement with MOOCs? We suggest that having a way of understanding the broad ecosystem which MOOCs are part of would be a useful first step towards attaining a state of readiness</w:t>
      </w:r>
      <w:r w:rsidR="00C33DB0">
        <w:rPr>
          <w:color w:val="auto"/>
        </w:rPr>
        <w:t xml:space="preserve"> </w:t>
      </w:r>
      <w:r w:rsidR="00D51110" w:rsidRPr="00562388">
        <w:rPr>
          <w:color w:val="auto"/>
        </w:rPr>
        <w:t>for strategic engagement.</w:t>
      </w:r>
      <w:bookmarkStart w:id="7" w:name="h.9yi3884wj7au" w:colFirst="0" w:colLast="0"/>
      <w:bookmarkEnd w:id="7"/>
      <w:r w:rsidR="00D51110" w:rsidRPr="00562388">
        <w:rPr>
          <w:color w:val="auto"/>
        </w:rPr>
        <w:t xml:space="preserve"> </w:t>
      </w:r>
    </w:p>
    <w:p w14:paraId="2942FD2A" w14:textId="77777777" w:rsidR="00D51110" w:rsidRPr="00D51110" w:rsidRDefault="00D51110" w:rsidP="00D51110"/>
    <w:p w14:paraId="09F6F41A" w14:textId="77777777" w:rsidR="00F87614" w:rsidRDefault="005B592A" w:rsidP="00BE1970">
      <w:pPr>
        <w:pStyle w:val="Title"/>
        <w:widowControl w:val="0"/>
        <w:contextualSpacing w:val="0"/>
        <w:rPr>
          <w:rFonts w:ascii="Century Gothic" w:hAnsi="Century Gothic"/>
          <w:b/>
          <w:color w:val="auto"/>
          <w:sz w:val="24"/>
          <w:szCs w:val="24"/>
        </w:rPr>
      </w:pPr>
      <w:bookmarkStart w:id="8" w:name="h.b6wh6ijche74" w:colFirst="0" w:colLast="0"/>
      <w:bookmarkStart w:id="9" w:name="h.y1tk06ytoo70" w:colFirst="0" w:colLast="0"/>
      <w:bookmarkEnd w:id="8"/>
      <w:bookmarkEnd w:id="9"/>
      <w:r w:rsidRPr="00562388">
        <w:rPr>
          <w:rFonts w:ascii="Century Gothic" w:hAnsi="Century Gothic"/>
          <w:b/>
          <w:color w:val="auto"/>
          <w:sz w:val="24"/>
          <w:szCs w:val="24"/>
        </w:rPr>
        <w:t xml:space="preserve">Inside and </w:t>
      </w:r>
      <w:r w:rsidR="00784BC7">
        <w:rPr>
          <w:rFonts w:ascii="Century Gothic" w:hAnsi="Century Gothic"/>
          <w:b/>
          <w:color w:val="auto"/>
          <w:sz w:val="24"/>
          <w:szCs w:val="24"/>
        </w:rPr>
        <w:t>Outward</w:t>
      </w:r>
      <w:r w:rsidRPr="00562388">
        <w:rPr>
          <w:rFonts w:ascii="Century Gothic" w:hAnsi="Century Gothic"/>
          <w:b/>
          <w:color w:val="auto"/>
          <w:sz w:val="24"/>
          <w:szCs w:val="24"/>
        </w:rPr>
        <w:t xml:space="preserve"> Facing Courses </w:t>
      </w:r>
    </w:p>
    <w:p w14:paraId="61FF33A1" w14:textId="75180818" w:rsidR="002252A2" w:rsidRDefault="002252A2" w:rsidP="00BA3B03">
      <w:pPr>
        <w:pStyle w:val="NoSpacing"/>
      </w:pPr>
      <w:r w:rsidRPr="00B941C8">
        <w:t>We introduce</w:t>
      </w:r>
      <w:r w:rsidRPr="001E13CC">
        <w:t xml:space="preserve"> the notion of </w:t>
      </w:r>
      <w:r w:rsidR="0065646C" w:rsidRPr="001E13CC">
        <w:t xml:space="preserve">courses </w:t>
      </w:r>
      <w:r w:rsidR="0065646C">
        <w:t xml:space="preserve">offered by </w:t>
      </w:r>
      <w:r w:rsidRPr="001E13CC">
        <w:t>universit</w:t>
      </w:r>
      <w:r w:rsidR="0065646C">
        <w:t>ies</w:t>
      </w:r>
      <w:r w:rsidRPr="001E13CC">
        <w:t xml:space="preserve"> as being</w:t>
      </w:r>
      <w:r w:rsidR="0065646C">
        <w:t xml:space="preserve"> either primarily</w:t>
      </w:r>
      <w:r w:rsidRPr="001E13CC">
        <w:t xml:space="preserve"> ‘</w:t>
      </w:r>
      <w:r w:rsidR="00784BC7">
        <w:t>inward</w:t>
      </w:r>
      <w:r w:rsidRPr="001E13CC">
        <w:t>’ or ‘</w:t>
      </w:r>
      <w:r w:rsidR="00784BC7">
        <w:t>outward</w:t>
      </w:r>
      <w:r w:rsidRPr="001E13CC">
        <w:t xml:space="preserve">’ facing. </w:t>
      </w:r>
      <w:r w:rsidR="0065646C">
        <w:t>T</w:t>
      </w:r>
      <w:r w:rsidR="00927339">
        <w:t xml:space="preserve">o </w:t>
      </w:r>
      <w:r w:rsidR="0065646C" w:rsidRPr="001E13CC">
        <w:t>all but enrolled st</w:t>
      </w:r>
      <w:r w:rsidR="0065646C" w:rsidRPr="00CE6266">
        <w:t>udents</w:t>
      </w:r>
      <w:r w:rsidR="0065646C">
        <w:t xml:space="preserve">, </w:t>
      </w:r>
      <w:r w:rsidR="00AF1AF5">
        <w:t>m</w:t>
      </w:r>
      <w:r w:rsidR="00AF1AF5" w:rsidRPr="001E13CC">
        <w:t>ost university courses</w:t>
      </w:r>
      <w:r w:rsidR="00AF1AF5">
        <w:t xml:space="preserve">’ </w:t>
      </w:r>
      <w:r w:rsidR="0065646C" w:rsidRPr="001E13CC">
        <w:t>content</w:t>
      </w:r>
      <w:r w:rsidR="0065646C">
        <w:t>, pedagogy</w:t>
      </w:r>
      <w:r w:rsidR="0065646C" w:rsidRPr="001E13CC">
        <w:t xml:space="preserve"> and specifics</w:t>
      </w:r>
      <w:r w:rsidR="0065646C" w:rsidRPr="001E13CC" w:rsidDel="0065646C">
        <w:t xml:space="preserve"> </w:t>
      </w:r>
      <w:r w:rsidRPr="001E13CC">
        <w:t>are invisible</w:t>
      </w:r>
      <w:r w:rsidRPr="00CE6266">
        <w:t xml:space="preserve">. </w:t>
      </w:r>
      <w:r w:rsidR="00F87A4F">
        <w:t xml:space="preserve"> When academics produce MOOCs which are based on existing courses, they create </w:t>
      </w:r>
      <w:r w:rsidR="0083240D">
        <w:t>a public glimpse of their regul</w:t>
      </w:r>
      <w:r w:rsidR="00F87A4F">
        <w:t>ar classes – albeit in a more glamourised and condensed form.  In the regular</w:t>
      </w:r>
      <w:r w:rsidR="00927339">
        <w:t xml:space="preserve"> </w:t>
      </w:r>
      <w:r w:rsidR="00713663">
        <w:t xml:space="preserve"> </w:t>
      </w:r>
      <w:r w:rsidR="00927339">
        <w:t>‘</w:t>
      </w:r>
      <w:r w:rsidR="00784BC7">
        <w:t>inward</w:t>
      </w:r>
      <w:r w:rsidR="00927339">
        <w:t>’ facing course, t</w:t>
      </w:r>
      <w:r w:rsidR="00375040">
        <w:t>he enrolled students are paying for access to the entire university</w:t>
      </w:r>
      <w:r w:rsidR="00064B1E">
        <w:t xml:space="preserve"> learning</w:t>
      </w:r>
      <w:r w:rsidR="00375040">
        <w:t xml:space="preserve"> experience </w:t>
      </w:r>
      <w:r w:rsidR="00927339">
        <w:t xml:space="preserve">including the educational </w:t>
      </w:r>
      <w:r w:rsidR="00064B1E">
        <w:t xml:space="preserve">support </w:t>
      </w:r>
      <w:r w:rsidR="0065646C">
        <w:t>of librarians</w:t>
      </w:r>
      <w:r w:rsidR="00064B1E">
        <w:t xml:space="preserve">, tutors, individual consultations, writing centres, curriculum advisors </w:t>
      </w:r>
      <w:r w:rsidR="00927339">
        <w:t>and others</w:t>
      </w:r>
      <w:r w:rsidR="00064B1E">
        <w:t xml:space="preserve">. </w:t>
      </w:r>
      <w:r w:rsidR="00F87A4F">
        <w:t xml:space="preserve">Experiments with </w:t>
      </w:r>
      <w:r w:rsidRPr="00CE6266">
        <w:t xml:space="preserve">MOOCs are </w:t>
      </w:r>
      <w:r w:rsidR="0012541B">
        <w:t xml:space="preserve">potentially </w:t>
      </w:r>
      <w:r w:rsidRPr="00CE6266">
        <w:t xml:space="preserve">changing this </w:t>
      </w:r>
      <w:r w:rsidR="0065646C">
        <w:t>traditional</w:t>
      </w:r>
      <w:r w:rsidRPr="00CE6266">
        <w:t xml:space="preserve"> position</w:t>
      </w:r>
      <w:r w:rsidR="0012541B">
        <w:t xml:space="preserve"> by</w:t>
      </w:r>
      <w:r w:rsidRPr="00CE6266">
        <w:t xml:space="preserve"> </w:t>
      </w:r>
      <w:r w:rsidR="0012541B" w:rsidRPr="00CE6266">
        <w:t>in</w:t>
      </w:r>
      <w:r w:rsidR="0012541B">
        <w:t>cluding various forms of</w:t>
      </w:r>
      <w:r w:rsidR="0012541B" w:rsidRPr="00CE6266">
        <w:t xml:space="preserve"> </w:t>
      </w:r>
      <w:r w:rsidRPr="00CE6266">
        <w:t>participation from</w:t>
      </w:r>
      <w:r w:rsidR="00AF1AF5">
        <w:t xml:space="preserve"> interested</w:t>
      </w:r>
      <w:r w:rsidRPr="00CE6266">
        <w:t xml:space="preserve"> </w:t>
      </w:r>
      <w:r w:rsidR="00784BC7">
        <w:t>‘</w:t>
      </w:r>
      <w:r w:rsidRPr="00CE6266">
        <w:t>outsider</w:t>
      </w:r>
      <w:r w:rsidR="00784BC7">
        <w:t>s’</w:t>
      </w:r>
      <w:r w:rsidR="00AF1AF5">
        <w:t xml:space="preserve"> not enrolled in the course</w:t>
      </w:r>
      <w:r w:rsidR="00AD40CA">
        <w:t xml:space="preserve">. </w:t>
      </w:r>
      <w:r w:rsidR="00F87A4F">
        <w:t>An example of this phenomenon is the</w:t>
      </w:r>
      <w:r w:rsidRPr="00CE6266">
        <w:t xml:space="preserve"> ‘open boundary course’ </w:t>
      </w:r>
      <w:r w:rsidRPr="001E13CC">
        <w:t>whereby both formally enrolled students and outsiders study the course together</w:t>
      </w:r>
      <w:r w:rsidR="00064B1E">
        <w:t xml:space="preserve"> – although with  different level</w:t>
      </w:r>
      <w:r w:rsidR="006C71D5">
        <w:t>s</w:t>
      </w:r>
      <w:r w:rsidR="00064B1E">
        <w:t xml:space="preserve"> of educational support</w:t>
      </w:r>
      <w:r w:rsidRPr="001E13CC">
        <w:t xml:space="preserve">. Thus, the development </w:t>
      </w:r>
      <w:r w:rsidR="00375040">
        <w:t>of these hybrid models</w:t>
      </w:r>
      <w:r w:rsidRPr="001E13CC">
        <w:t xml:space="preserve"> has enabled making s</w:t>
      </w:r>
      <w:r w:rsidRPr="00CE6266">
        <w:t>ome existing online courses more visible to outsiders</w:t>
      </w:r>
      <w:r w:rsidR="00AF1AF5">
        <w:t xml:space="preserve"> who are interested in the course but for whatever reason not currently interested in</w:t>
      </w:r>
      <w:r w:rsidR="006C71D5">
        <w:t xml:space="preserve"> being</w:t>
      </w:r>
      <w:r w:rsidR="00AF1AF5">
        <w:t xml:space="preserve"> </w:t>
      </w:r>
      <w:r w:rsidR="006C71D5">
        <w:t xml:space="preserve">or able to </w:t>
      </w:r>
      <w:r w:rsidR="00AF1AF5">
        <w:t>be a registered student</w:t>
      </w:r>
      <w:r w:rsidRPr="00CE6266">
        <w:t xml:space="preserve">. </w:t>
      </w:r>
      <w:r w:rsidR="00375040">
        <w:t>As</w:t>
      </w:r>
      <w:r w:rsidRPr="00CE6266">
        <w:t xml:space="preserve"> MOOCs </w:t>
      </w:r>
      <w:r w:rsidR="00375040">
        <w:t>become a more</w:t>
      </w:r>
      <w:r w:rsidRPr="00CE6266">
        <w:t xml:space="preserve"> established model of delivering a form of online learning, some courses in a university </w:t>
      </w:r>
      <w:r w:rsidR="008B25C0">
        <w:t>develop to become</w:t>
      </w:r>
      <w:r w:rsidR="008B25C0" w:rsidRPr="00CE6266">
        <w:t xml:space="preserve"> </w:t>
      </w:r>
      <w:r w:rsidRPr="00CE6266">
        <w:t xml:space="preserve">more or less inward or outwards facing, with the cloud-hosted MOOCs (such as those offered on Coursera) </w:t>
      </w:r>
      <w:r w:rsidRPr="00CE6266">
        <w:rPr>
          <w:color w:val="auto"/>
        </w:rPr>
        <w:t>representing the furthermost to the right on the ‘</w:t>
      </w:r>
      <w:r w:rsidR="00784BC7">
        <w:rPr>
          <w:color w:val="auto"/>
        </w:rPr>
        <w:t>outward</w:t>
      </w:r>
      <w:r w:rsidRPr="00CE6266">
        <w:rPr>
          <w:color w:val="auto"/>
        </w:rPr>
        <w:t>’ continuum as shown in Figure 1</w:t>
      </w:r>
      <w:r w:rsidR="00064B1E">
        <w:rPr>
          <w:color w:val="auto"/>
        </w:rPr>
        <w:t xml:space="preserve">, and the ones on the left </w:t>
      </w:r>
      <w:r w:rsidR="0026143E">
        <w:rPr>
          <w:color w:val="auto"/>
        </w:rPr>
        <w:t>representing the traditional campus based courses</w:t>
      </w:r>
      <w:r w:rsidRPr="00CE6266">
        <w:rPr>
          <w:color w:val="auto"/>
        </w:rPr>
        <w:t>.</w:t>
      </w:r>
      <w:r w:rsidRPr="00CE6266">
        <w:t xml:space="preserve"> Figure 1 shows the potential overlaps with MOOCs and existing online courses and other forms of flexible provision. </w:t>
      </w:r>
      <w:r w:rsidRPr="00CE6266">
        <w:rPr>
          <w:color w:val="auto"/>
        </w:rPr>
        <w:t>The breadth of courses a university provides has therefore expanded along this ‘inward-outward continuum’ inviting</w:t>
      </w:r>
      <w:r w:rsidRPr="00CE6266">
        <w:t xml:space="preserve"> greater experimentation in modes of delivery, entry requirements, assessment practices and flexible provision.</w:t>
      </w:r>
    </w:p>
    <w:p w14:paraId="166C8B72" w14:textId="77777777" w:rsidR="002252A2" w:rsidRPr="00BA3B03" w:rsidRDefault="002252A2" w:rsidP="00DE3B23"/>
    <w:p w14:paraId="5D2E53BA" w14:textId="35FB7529" w:rsidR="00F87614" w:rsidRPr="00562388" w:rsidRDefault="008B25C0" w:rsidP="00BE1970">
      <w:pPr>
        <w:pStyle w:val="NoSpacing"/>
        <w:rPr>
          <w:color w:val="auto"/>
        </w:rPr>
      </w:pPr>
      <w:r>
        <w:rPr>
          <w:color w:val="auto"/>
        </w:rPr>
        <w:t>Conceivably</w:t>
      </w:r>
      <w:r w:rsidR="005B592A" w:rsidRPr="00562388">
        <w:rPr>
          <w:color w:val="auto"/>
        </w:rPr>
        <w:t xml:space="preserve"> a</w:t>
      </w:r>
      <w:r>
        <w:rPr>
          <w:color w:val="auto"/>
        </w:rPr>
        <w:t>n outward</w:t>
      </w:r>
      <w:r w:rsidR="004056BC">
        <w:rPr>
          <w:color w:val="auto"/>
        </w:rPr>
        <w:t>-</w:t>
      </w:r>
      <w:r>
        <w:rPr>
          <w:color w:val="auto"/>
        </w:rPr>
        <w:t>facing MOOC</w:t>
      </w:r>
      <w:r w:rsidR="005B592A" w:rsidRPr="00562388">
        <w:rPr>
          <w:color w:val="auto"/>
        </w:rPr>
        <w:t xml:space="preserve"> could be adapted for paying students or be ‘wrapped’ within another course</w:t>
      </w:r>
      <w:r>
        <w:rPr>
          <w:color w:val="auto"/>
        </w:rPr>
        <w:t xml:space="preserve"> to serve </w:t>
      </w:r>
      <w:r w:rsidR="00325329">
        <w:rPr>
          <w:color w:val="auto"/>
        </w:rPr>
        <w:t>enrolled</w:t>
      </w:r>
      <w:r w:rsidR="00713663">
        <w:rPr>
          <w:color w:val="auto"/>
        </w:rPr>
        <w:t xml:space="preserve"> </w:t>
      </w:r>
      <w:r>
        <w:rPr>
          <w:color w:val="auto"/>
        </w:rPr>
        <w:t>students</w:t>
      </w:r>
      <w:r w:rsidR="005B592A" w:rsidRPr="00562388">
        <w:rPr>
          <w:color w:val="auto"/>
        </w:rPr>
        <w:t xml:space="preserve">. </w:t>
      </w:r>
      <w:r>
        <w:rPr>
          <w:color w:val="auto"/>
        </w:rPr>
        <w:t>A</w:t>
      </w:r>
      <w:r w:rsidR="005B592A" w:rsidRPr="00562388">
        <w:rPr>
          <w:color w:val="auto"/>
        </w:rPr>
        <w:t xml:space="preserve"> </w:t>
      </w:r>
      <w:r>
        <w:rPr>
          <w:color w:val="auto"/>
        </w:rPr>
        <w:t>distinction can then be made</w:t>
      </w:r>
      <w:r w:rsidR="005B592A" w:rsidRPr="00562388">
        <w:rPr>
          <w:color w:val="auto"/>
        </w:rPr>
        <w:t xml:space="preserve"> between courses that are part of degree programmes and those that are not. </w:t>
      </w:r>
      <w:r w:rsidR="00757636">
        <w:rPr>
          <w:color w:val="auto"/>
        </w:rPr>
        <w:t>A second</w:t>
      </w:r>
      <w:r w:rsidR="005B592A" w:rsidRPr="00562388">
        <w:rPr>
          <w:color w:val="auto"/>
        </w:rPr>
        <w:t xml:space="preserve"> </w:t>
      </w:r>
      <w:r w:rsidR="00757636">
        <w:rPr>
          <w:color w:val="auto"/>
        </w:rPr>
        <w:t xml:space="preserve">less clear </w:t>
      </w:r>
      <w:r w:rsidR="005B592A" w:rsidRPr="00562388">
        <w:rPr>
          <w:color w:val="auto"/>
        </w:rPr>
        <w:t xml:space="preserve">distinction can be made between courses hosted largely within the institution focused inwards on providing for existing registered students </w:t>
      </w:r>
      <w:r w:rsidR="00757636">
        <w:rPr>
          <w:color w:val="auto"/>
        </w:rPr>
        <w:t xml:space="preserve">and </w:t>
      </w:r>
      <w:r w:rsidRPr="00562388">
        <w:rPr>
          <w:color w:val="auto"/>
        </w:rPr>
        <w:t>those</w:t>
      </w:r>
      <w:r w:rsidR="005B592A" w:rsidRPr="00562388">
        <w:rPr>
          <w:color w:val="auto"/>
        </w:rPr>
        <w:t xml:space="preserve"> courses which are </w:t>
      </w:r>
      <w:r w:rsidR="00757636">
        <w:rPr>
          <w:color w:val="auto"/>
        </w:rPr>
        <w:t>more</w:t>
      </w:r>
      <w:r w:rsidR="00757636" w:rsidRPr="00562388">
        <w:rPr>
          <w:color w:val="auto"/>
        </w:rPr>
        <w:t xml:space="preserve"> </w:t>
      </w:r>
      <w:r w:rsidR="00784BC7">
        <w:rPr>
          <w:color w:val="auto"/>
        </w:rPr>
        <w:t>outward</w:t>
      </w:r>
      <w:r w:rsidR="005B592A" w:rsidRPr="00562388">
        <w:rPr>
          <w:color w:val="auto"/>
        </w:rPr>
        <w:t xml:space="preserve"> focused </w:t>
      </w:r>
      <w:r w:rsidR="00443B19">
        <w:rPr>
          <w:color w:val="auto"/>
        </w:rPr>
        <w:t xml:space="preserve">courses where participants have little or no connection to the </w:t>
      </w:r>
      <w:r w:rsidR="00443B19" w:rsidRPr="00562388">
        <w:rPr>
          <w:color w:val="auto"/>
        </w:rPr>
        <w:t>institution</w:t>
      </w:r>
      <w:r w:rsidR="005B592A" w:rsidRPr="00562388">
        <w:rPr>
          <w:color w:val="auto"/>
        </w:rPr>
        <w:t xml:space="preserve">. This is a continuum </w:t>
      </w:r>
      <w:r w:rsidR="00443B19">
        <w:rPr>
          <w:color w:val="auto"/>
        </w:rPr>
        <w:t xml:space="preserve">and </w:t>
      </w:r>
      <w:r w:rsidR="005B592A" w:rsidRPr="00562388">
        <w:rPr>
          <w:color w:val="auto"/>
        </w:rPr>
        <w:t>would include open boundary courses where existing credit-bearing courses are made available freely to other students while they are running, wrapped courses where for credit courses are ‘wrapped around’ other courses which exist in MOOC format</w:t>
      </w:r>
      <w:r w:rsidR="00D6760B">
        <w:rPr>
          <w:color w:val="auto"/>
        </w:rPr>
        <w:t>, distributed flip</w:t>
      </w:r>
      <w:r w:rsidR="00B927F2">
        <w:rPr>
          <w:color w:val="auto"/>
        </w:rPr>
        <w:t xml:space="preserve"> </w:t>
      </w:r>
      <w:r w:rsidR="00D6760B">
        <w:rPr>
          <w:color w:val="auto"/>
        </w:rPr>
        <w:t>courses</w:t>
      </w:r>
      <w:r w:rsidR="00B927F2">
        <w:rPr>
          <w:color w:val="auto"/>
        </w:rPr>
        <w:t xml:space="preserve"> where MOOC materials are used in blended on-campus courses (</w:t>
      </w:r>
      <w:r w:rsidR="00AE1378">
        <w:rPr>
          <w:color w:val="auto"/>
        </w:rPr>
        <w:t>Stanford</w:t>
      </w:r>
      <w:r w:rsidR="00F87A4F">
        <w:rPr>
          <w:color w:val="auto"/>
        </w:rPr>
        <w:t xml:space="preserve">, </w:t>
      </w:r>
      <w:r w:rsidR="00B927F2">
        <w:rPr>
          <w:color w:val="auto"/>
        </w:rPr>
        <w:t>201</w:t>
      </w:r>
      <w:r w:rsidR="00AE1378">
        <w:rPr>
          <w:color w:val="auto"/>
        </w:rPr>
        <w:t>4</w:t>
      </w:r>
      <w:r w:rsidR="00B927F2">
        <w:rPr>
          <w:color w:val="auto"/>
        </w:rPr>
        <w:t xml:space="preserve">) </w:t>
      </w:r>
      <w:r w:rsidR="00B927F2" w:rsidRPr="00562388">
        <w:rPr>
          <w:color w:val="auto"/>
        </w:rPr>
        <w:t xml:space="preserve"> </w:t>
      </w:r>
      <w:r w:rsidR="005B592A" w:rsidRPr="00562388">
        <w:rPr>
          <w:color w:val="auto"/>
        </w:rPr>
        <w:t>and nested courses within a “Meta-MOOC” (Davidson, 2014)  where a number of similar courses, at different institutions, are run simultaneously with each other, and simultaneously with a common MOOC.</w:t>
      </w:r>
    </w:p>
    <w:p w14:paraId="554EF311" w14:textId="77777777" w:rsidR="00F87614" w:rsidRPr="00562388" w:rsidRDefault="005B592A">
      <w:pPr>
        <w:pStyle w:val="Title"/>
        <w:widowControl w:val="0"/>
        <w:contextualSpacing w:val="0"/>
        <w:rPr>
          <w:color w:val="auto"/>
        </w:rPr>
      </w:pPr>
      <w:bookmarkStart w:id="10" w:name="h.h2pzvpyrc6nc" w:colFirst="0" w:colLast="0"/>
      <w:bookmarkEnd w:id="10"/>
      <w:r w:rsidRPr="00562388">
        <w:rPr>
          <w:color w:val="auto"/>
        </w:rPr>
        <w:t xml:space="preserve"> </w:t>
      </w:r>
      <w:bookmarkStart w:id="11" w:name="h.rbk9em7uzkfb" w:colFirst="0" w:colLast="0"/>
      <w:bookmarkStart w:id="12" w:name="h.y2v5kjkvq1xl" w:colFirst="0" w:colLast="0"/>
      <w:bookmarkEnd w:id="11"/>
      <w:bookmarkEnd w:id="12"/>
    </w:p>
    <w:p w14:paraId="50CFAD9D" w14:textId="77777777" w:rsidR="00F87614" w:rsidRPr="00562388" w:rsidRDefault="00562388">
      <w:pPr>
        <w:pStyle w:val="Title"/>
        <w:widowControl w:val="0"/>
        <w:contextualSpacing w:val="0"/>
        <w:rPr>
          <w:color w:val="auto"/>
        </w:rPr>
      </w:pPr>
      <w:bookmarkStart w:id="13" w:name="h.chbrpu2s71mm" w:colFirst="0" w:colLast="0"/>
      <w:bookmarkEnd w:id="13"/>
      <w:r w:rsidRPr="00562388">
        <w:rPr>
          <w:noProof/>
          <w:color w:val="auto"/>
          <w:lang w:val="en-US" w:eastAsia="en-US"/>
        </w:rPr>
        <w:drawing>
          <wp:inline distT="19050" distB="19050" distL="19050" distR="19050" wp14:anchorId="5DBCC809" wp14:editId="2E52FA81">
            <wp:extent cx="5943600" cy="2395728"/>
            <wp:effectExtent l="0" t="0" r="0" b="5080"/>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0"/>
                    <a:srcRect/>
                    <a:stretch>
                      <a:fillRect/>
                    </a:stretch>
                  </pic:blipFill>
                  <pic:spPr>
                    <a:xfrm>
                      <a:off x="0" y="0"/>
                      <a:ext cx="5943600" cy="2395728"/>
                    </a:xfrm>
                    <a:prstGeom prst="rect">
                      <a:avLst/>
                    </a:prstGeom>
                    <a:ln/>
                  </pic:spPr>
                </pic:pic>
              </a:graphicData>
            </a:graphic>
          </wp:inline>
        </w:drawing>
      </w:r>
    </w:p>
    <w:p w14:paraId="4A444317" w14:textId="77777777" w:rsidR="00F87614" w:rsidRPr="00562388" w:rsidRDefault="005B592A">
      <w:pPr>
        <w:pStyle w:val="Title"/>
        <w:widowControl w:val="0"/>
        <w:contextualSpacing w:val="0"/>
        <w:rPr>
          <w:color w:val="auto"/>
        </w:rPr>
      </w:pPr>
      <w:bookmarkStart w:id="14" w:name="h.qp1qpoop4twp" w:colFirst="0" w:colLast="0"/>
      <w:bookmarkEnd w:id="14"/>
      <w:r w:rsidRPr="00562388">
        <w:rPr>
          <w:color w:val="auto"/>
        </w:rPr>
        <w:t xml:space="preserve"> </w:t>
      </w:r>
    </w:p>
    <w:p w14:paraId="37CEA824" w14:textId="77777777" w:rsidR="00562388" w:rsidRPr="00562388" w:rsidRDefault="005B592A">
      <w:pPr>
        <w:pStyle w:val="Title"/>
        <w:widowControl w:val="0"/>
        <w:contextualSpacing w:val="0"/>
        <w:rPr>
          <w:rFonts w:ascii="Arial Narrow" w:hAnsi="Arial Narrow"/>
          <w:color w:val="auto"/>
          <w:sz w:val="24"/>
        </w:rPr>
      </w:pPr>
      <w:bookmarkStart w:id="15" w:name="h.3qcc6tu7q0gm" w:colFirst="0" w:colLast="0"/>
      <w:bookmarkStart w:id="16" w:name="h.catow22dju7c" w:colFirst="0" w:colLast="0"/>
      <w:bookmarkStart w:id="17" w:name="h.vosm633eei1w" w:colFirst="0" w:colLast="0"/>
      <w:bookmarkEnd w:id="15"/>
      <w:bookmarkEnd w:id="16"/>
      <w:bookmarkEnd w:id="17"/>
      <w:r w:rsidRPr="00562388">
        <w:rPr>
          <w:rFonts w:ascii="Arial Narrow" w:hAnsi="Arial Narrow"/>
          <w:color w:val="auto"/>
          <w:sz w:val="24"/>
        </w:rPr>
        <w:t xml:space="preserve">Figure 1: </w:t>
      </w:r>
      <w:r w:rsidR="00784BC7">
        <w:rPr>
          <w:rFonts w:ascii="Arial Narrow" w:hAnsi="Arial Narrow"/>
          <w:color w:val="auto"/>
          <w:sz w:val="24"/>
        </w:rPr>
        <w:t>Continuum</w:t>
      </w:r>
      <w:r w:rsidR="00784BC7" w:rsidRPr="00562388">
        <w:rPr>
          <w:rFonts w:ascii="Arial Narrow" w:hAnsi="Arial Narrow"/>
          <w:color w:val="auto"/>
          <w:sz w:val="24"/>
        </w:rPr>
        <w:t xml:space="preserve"> </w:t>
      </w:r>
      <w:r w:rsidRPr="00562388">
        <w:rPr>
          <w:rFonts w:ascii="Arial Narrow" w:hAnsi="Arial Narrow"/>
          <w:color w:val="auto"/>
          <w:sz w:val="24"/>
        </w:rPr>
        <w:t>of course provision</w:t>
      </w:r>
      <w:r w:rsidR="00AF1AF5">
        <w:rPr>
          <w:rFonts w:ascii="Arial Narrow" w:hAnsi="Arial Narrow"/>
          <w:color w:val="auto"/>
          <w:sz w:val="24"/>
        </w:rPr>
        <w:t xml:space="preserve"> offered by </w:t>
      </w:r>
      <w:r w:rsidR="00AF1AF5" w:rsidRPr="00562388">
        <w:rPr>
          <w:rFonts w:ascii="Arial Narrow" w:hAnsi="Arial Narrow"/>
          <w:color w:val="auto"/>
          <w:sz w:val="24"/>
        </w:rPr>
        <w:t>an institution</w:t>
      </w:r>
      <w:r w:rsidRPr="00562388">
        <w:rPr>
          <w:rFonts w:ascii="Arial Narrow" w:hAnsi="Arial Narrow"/>
          <w:color w:val="auto"/>
          <w:sz w:val="24"/>
        </w:rPr>
        <w:t xml:space="preserve"> </w:t>
      </w:r>
      <w:r w:rsidR="00784BC7">
        <w:rPr>
          <w:rFonts w:ascii="Arial Narrow" w:hAnsi="Arial Narrow"/>
          <w:color w:val="auto"/>
          <w:sz w:val="24"/>
        </w:rPr>
        <w:t>from</w:t>
      </w:r>
      <w:r w:rsidRPr="00562388">
        <w:rPr>
          <w:rFonts w:ascii="Arial Narrow" w:hAnsi="Arial Narrow"/>
          <w:color w:val="auto"/>
          <w:sz w:val="24"/>
        </w:rPr>
        <w:t xml:space="preserve"> </w:t>
      </w:r>
      <w:r w:rsidR="00784BC7">
        <w:rPr>
          <w:rFonts w:ascii="Arial Narrow" w:hAnsi="Arial Narrow"/>
          <w:color w:val="auto"/>
          <w:sz w:val="24"/>
        </w:rPr>
        <w:t>inward</w:t>
      </w:r>
      <w:r w:rsidRPr="00562388">
        <w:rPr>
          <w:rFonts w:ascii="Arial Narrow" w:hAnsi="Arial Narrow"/>
          <w:color w:val="auto"/>
          <w:sz w:val="24"/>
        </w:rPr>
        <w:t xml:space="preserve"> </w:t>
      </w:r>
      <w:r w:rsidR="00784BC7">
        <w:rPr>
          <w:rFonts w:ascii="Arial Narrow" w:hAnsi="Arial Narrow"/>
          <w:color w:val="auto"/>
          <w:sz w:val="24"/>
        </w:rPr>
        <w:t>to</w:t>
      </w:r>
      <w:r w:rsidR="00784BC7" w:rsidRPr="00562388">
        <w:rPr>
          <w:rFonts w:ascii="Arial Narrow" w:hAnsi="Arial Narrow"/>
          <w:color w:val="auto"/>
          <w:sz w:val="24"/>
        </w:rPr>
        <w:t xml:space="preserve"> </w:t>
      </w:r>
      <w:r w:rsidR="00784BC7">
        <w:rPr>
          <w:rFonts w:ascii="Arial Narrow" w:hAnsi="Arial Narrow"/>
          <w:color w:val="auto"/>
          <w:sz w:val="24"/>
        </w:rPr>
        <w:t>outward</w:t>
      </w:r>
      <w:r w:rsidRPr="00562388">
        <w:rPr>
          <w:rFonts w:ascii="Arial Narrow" w:hAnsi="Arial Narrow"/>
          <w:color w:val="auto"/>
          <w:sz w:val="24"/>
        </w:rPr>
        <w:t xml:space="preserve"> </w:t>
      </w:r>
      <w:r w:rsidR="00784BC7">
        <w:rPr>
          <w:rFonts w:ascii="Arial Narrow" w:hAnsi="Arial Narrow"/>
          <w:color w:val="auto"/>
          <w:sz w:val="24"/>
        </w:rPr>
        <w:t>facing courses</w:t>
      </w:r>
      <w:r w:rsidRPr="00562388">
        <w:rPr>
          <w:rFonts w:ascii="Arial Narrow" w:hAnsi="Arial Narrow"/>
          <w:color w:val="auto"/>
          <w:sz w:val="24"/>
        </w:rPr>
        <w:t>.</w:t>
      </w:r>
      <w:bookmarkStart w:id="18" w:name="h.cmdko623iwlw" w:colFirst="0" w:colLast="0"/>
      <w:bookmarkEnd w:id="18"/>
    </w:p>
    <w:p w14:paraId="0E153E4E" w14:textId="77777777" w:rsidR="00F87614" w:rsidRPr="00562388" w:rsidRDefault="00E5481D" w:rsidP="00BE1970">
      <w:pPr>
        <w:pStyle w:val="NoSpacing"/>
        <w:rPr>
          <w:color w:val="auto"/>
        </w:rPr>
      </w:pPr>
      <w:r>
        <w:rPr>
          <w:color w:val="auto"/>
        </w:rPr>
        <w:br/>
      </w:r>
      <w:r w:rsidR="005B592A" w:rsidRPr="00562388">
        <w:rPr>
          <w:color w:val="auto"/>
        </w:rPr>
        <w:t xml:space="preserve">While there is a range of educational offerings by the traditional campus-based institutions </w:t>
      </w:r>
      <w:r w:rsidR="00F65E0C">
        <w:rPr>
          <w:color w:val="auto"/>
        </w:rPr>
        <w:t>–</w:t>
      </w:r>
      <w:r w:rsidR="005B592A" w:rsidRPr="00562388">
        <w:rPr>
          <w:color w:val="auto"/>
        </w:rPr>
        <w:t xml:space="preserve"> incorporating professional development, distance education, extra-mural provision and recently, partnerships with external providers </w:t>
      </w:r>
      <w:r w:rsidR="00F65E0C">
        <w:rPr>
          <w:color w:val="auto"/>
        </w:rPr>
        <w:t>–</w:t>
      </w:r>
      <w:r w:rsidR="005B592A" w:rsidRPr="00562388">
        <w:rPr>
          <w:color w:val="auto"/>
        </w:rPr>
        <w:t xml:space="preserve"> there remain some key distinguishing characteristics of types of provision, which we believe help institutions understand and make decisions about how to engage with the choices about MOOCs. We </w:t>
      </w:r>
      <w:r w:rsidR="00F65E0C">
        <w:rPr>
          <w:color w:val="auto"/>
        </w:rPr>
        <w:t>call</w:t>
      </w:r>
      <w:r w:rsidR="00F65E0C" w:rsidRPr="00562388">
        <w:rPr>
          <w:color w:val="auto"/>
        </w:rPr>
        <w:t xml:space="preserve"> </w:t>
      </w:r>
      <w:r w:rsidR="005B592A" w:rsidRPr="00562388">
        <w:rPr>
          <w:color w:val="auto"/>
        </w:rPr>
        <w:t>this a ‘landscape of educational provision’. This landscape, as shown in Figure 2, can be roughly divided into three bands, namely, ‘formal’, ‘semi-formal’ and ‘non-formal’, although these should be treated as conceptual, not absolute</w:t>
      </w:r>
      <w:r w:rsidR="00F65E0C">
        <w:rPr>
          <w:color w:val="auto"/>
        </w:rPr>
        <w:t>,</w:t>
      </w:r>
      <w:r w:rsidR="005B592A" w:rsidRPr="00562388">
        <w:rPr>
          <w:color w:val="auto"/>
        </w:rPr>
        <w:t xml:space="preserve"> divisions represented here to assist with </w:t>
      </w:r>
      <w:r w:rsidR="00F65E0C">
        <w:rPr>
          <w:color w:val="auto"/>
        </w:rPr>
        <w:t>a</w:t>
      </w:r>
      <w:r w:rsidR="00F65E0C" w:rsidRPr="00562388">
        <w:rPr>
          <w:color w:val="auto"/>
        </w:rPr>
        <w:t xml:space="preserve"> </w:t>
      </w:r>
      <w:r w:rsidR="005B592A" w:rsidRPr="00562388">
        <w:rPr>
          <w:color w:val="auto"/>
        </w:rPr>
        <w:t>mental mapping exercise.</w:t>
      </w:r>
    </w:p>
    <w:p w14:paraId="6003E5EA" w14:textId="77777777" w:rsidR="00F87614" w:rsidRPr="00562388" w:rsidRDefault="005B592A" w:rsidP="00BE1970">
      <w:pPr>
        <w:pStyle w:val="NoSpacing"/>
        <w:rPr>
          <w:color w:val="auto"/>
        </w:rPr>
      </w:pPr>
      <w:bookmarkStart w:id="19" w:name="h.2dxt7u5913h3" w:colFirst="0" w:colLast="0"/>
      <w:bookmarkEnd w:id="19"/>
      <w:r w:rsidRPr="00562388">
        <w:rPr>
          <w:color w:val="auto"/>
        </w:rPr>
        <w:t xml:space="preserve"> </w:t>
      </w:r>
    </w:p>
    <w:p w14:paraId="109828F6" w14:textId="77777777" w:rsidR="00F87614" w:rsidRPr="00562388" w:rsidRDefault="00F87614">
      <w:pPr>
        <w:pStyle w:val="Title"/>
        <w:widowControl w:val="0"/>
        <w:contextualSpacing w:val="0"/>
        <w:rPr>
          <w:color w:val="auto"/>
        </w:rPr>
      </w:pPr>
      <w:bookmarkStart w:id="20" w:name="h.m5oyqgi1vi2p" w:colFirst="0" w:colLast="0"/>
      <w:bookmarkEnd w:id="20"/>
    </w:p>
    <w:p w14:paraId="38682EDF" w14:textId="77777777" w:rsidR="00F87614" w:rsidRPr="00562388" w:rsidRDefault="005B592A">
      <w:pPr>
        <w:pStyle w:val="Title"/>
        <w:widowControl w:val="0"/>
        <w:contextualSpacing w:val="0"/>
        <w:rPr>
          <w:color w:val="auto"/>
        </w:rPr>
      </w:pPr>
      <w:bookmarkStart w:id="21" w:name="h.jd53vy9a7hi" w:colFirst="0" w:colLast="0"/>
      <w:bookmarkEnd w:id="21"/>
      <w:r w:rsidRPr="00562388">
        <w:rPr>
          <w:color w:val="auto"/>
        </w:rPr>
        <w:t xml:space="preserve"> </w:t>
      </w:r>
      <w:r w:rsidR="00DA2AFD">
        <w:rPr>
          <w:noProof/>
          <w:lang w:val="en-US" w:eastAsia="en-US"/>
        </w:rPr>
        <w:drawing>
          <wp:inline distT="0" distB="0" distL="0" distR="0" wp14:anchorId="4060FCA8" wp14:editId="63C9920B">
            <wp:extent cx="5391150" cy="384699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8544" cy="3859406"/>
                    </a:xfrm>
                    <a:prstGeom prst="rect">
                      <a:avLst/>
                    </a:prstGeom>
                    <a:noFill/>
                    <a:ln>
                      <a:noFill/>
                    </a:ln>
                  </pic:spPr>
                </pic:pic>
              </a:graphicData>
            </a:graphic>
          </wp:inline>
        </w:drawing>
      </w:r>
    </w:p>
    <w:p w14:paraId="0FDB021F" w14:textId="77777777" w:rsidR="00F87614" w:rsidRPr="00562388" w:rsidRDefault="005B592A">
      <w:pPr>
        <w:pStyle w:val="Title"/>
        <w:widowControl w:val="0"/>
        <w:contextualSpacing w:val="0"/>
        <w:rPr>
          <w:color w:val="auto"/>
        </w:rPr>
      </w:pPr>
      <w:bookmarkStart w:id="22" w:name="h.rgmifi6yi2av" w:colFirst="0" w:colLast="0"/>
      <w:bookmarkEnd w:id="22"/>
      <w:r w:rsidRPr="00562388">
        <w:rPr>
          <w:color w:val="auto"/>
        </w:rPr>
        <w:t xml:space="preserve"> </w:t>
      </w:r>
      <w:bookmarkStart w:id="23" w:name="h.bv08gd7r6j0b" w:colFirst="0" w:colLast="0"/>
      <w:bookmarkEnd w:id="23"/>
      <w:r w:rsidRPr="00DA2AFD">
        <w:rPr>
          <w:rFonts w:ascii="Arial Narrow" w:hAnsi="Arial Narrow"/>
          <w:color w:val="auto"/>
          <w:sz w:val="24"/>
        </w:rPr>
        <w:t>Figure 2: Landscape of Hig</w:t>
      </w:r>
      <w:r w:rsidR="00DA2AFD">
        <w:rPr>
          <w:rFonts w:ascii="Arial Narrow" w:hAnsi="Arial Narrow"/>
          <w:color w:val="auto"/>
          <w:sz w:val="24"/>
        </w:rPr>
        <w:t>her Education provision</w:t>
      </w:r>
      <w:bookmarkStart w:id="24" w:name="h.ltegq4f7uzv7" w:colFirst="0" w:colLast="0"/>
      <w:bookmarkEnd w:id="24"/>
      <w:r w:rsidR="00DA2AFD">
        <w:rPr>
          <w:rFonts w:ascii="Arial Narrow" w:hAnsi="Arial Narrow"/>
          <w:color w:val="auto"/>
          <w:sz w:val="24"/>
        </w:rPr>
        <w:br/>
      </w:r>
      <w:r w:rsidRPr="00562388">
        <w:rPr>
          <w:color w:val="auto"/>
        </w:rPr>
        <w:t xml:space="preserve"> </w:t>
      </w:r>
    </w:p>
    <w:p w14:paraId="5FED2252" w14:textId="6A99D308" w:rsidR="00F87614" w:rsidRPr="00562388" w:rsidRDefault="005B592A" w:rsidP="00BE1970">
      <w:pPr>
        <w:pStyle w:val="NoSpacing"/>
        <w:rPr>
          <w:color w:val="auto"/>
        </w:rPr>
      </w:pPr>
      <w:r w:rsidRPr="00562388">
        <w:rPr>
          <w:color w:val="auto"/>
        </w:rPr>
        <w:t>Courses in the formal education domain have strict prerequisites and credentialing requirements through their control of access, progression, and assessment. This is true for credit-bearing courses across the spectrum of classroom</w:t>
      </w:r>
      <w:r w:rsidR="00543B71">
        <w:rPr>
          <w:color w:val="auto"/>
        </w:rPr>
        <w:t>-</w:t>
      </w:r>
      <w:r w:rsidRPr="00562388">
        <w:rPr>
          <w:color w:val="auto"/>
        </w:rPr>
        <w:t xml:space="preserve">based, flexible delivery and online formats. Here we distinguish MOOCs and associated courses from these formal online credit-bearing courses. It is possible that a conventional course can become a hybrid blended course or open-boundaried course, whereby the same formal course can be opened out to non-registered students if delivered in an online format </w:t>
      </w:r>
      <w:r w:rsidR="00543B71">
        <w:rPr>
          <w:color w:val="auto"/>
        </w:rPr>
        <w:t>–</w:t>
      </w:r>
      <w:r w:rsidRPr="00562388">
        <w:rPr>
          <w:color w:val="auto"/>
        </w:rPr>
        <w:t xml:space="preserve"> something that had previously seemed unimaginable. However, while the same course may exist in two domains, the boundary between the two is not porous from </w:t>
      </w:r>
      <w:r w:rsidR="004056BC">
        <w:rPr>
          <w:color w:val="auto"/>
        </w:rPr>
        <w:t xml:space="preserve">the </w:t>
      </w:r>
      <w:r w:rsidRPr="00562388">
        <w:rPr>
          <w:color w:val="auto"/>
        </w:rPr>
        <w:t>student perspective. Non-registered students in an open boundary course do not acquire any formal credit or have access to the library, even though they may cover the same content and assessments.</w:t>
      </w:r>
    </w:p>
    <w:p w14:paraId="274A936F" w14:textId="77777777" w:rsidR="00F87614" w:rsidRPr="00562388" w:rsidRDefault="005B592A" w:rsidP="00BE1970">
      <w:pPr>
        <w:pStyle w:val="NoSpacing"/>
        <w:rPr>
          <w:color w:val="auto"/>
        </w:rPr>
      </w:pPr>
      <w:r w:rsidRPr="00562388">
        <w:rPr>
          <w:color w:val="auto"/>
        </w:rPr>
        <w:t xml:space="preserve"> </w:t>
      </w:r>
    </w:p>
    <w:p w14:paraId="7306D586" w14:textId="77777777" w:rsidR="00F87614" w:rsidRPr="00562388" w:rsidRDefault="005B592A" w:rsidP="00BE1970">
      <w:pPr>
        <w:pStyle w:val="NoSpacing"/>
        <w:rPr>
          <w:color w:val="auto"/>
        </w:rPr>
      </w:pPr>
      <w:r w:rsidRPr="00562388">
        <w:rPr>
          <w:color w:val="auto"/>
        </w:rPr>
        <w:t>While retaining some of the features of formal education, semi-formal courses are less bounded or constrained. Semi-formal courses encompass those supporting a formal qualification, which students may be encouraged to take, but typically these are not credit bearing or part of the formal curriculum. Examples include stand-alone skills modules, developmental courses to prepare students and optional enrichment courses. The duration may be shorter or outside term time. The types of assessment and the entry or exit requirements may be very different from formal courses. A number of emerging MOOCs for college preparation are located in this semi-formal space.</w:t>
      </w:r>
    </w:p>
    <w:p w14:paraId="683A6B77" w14:textId="77777777" w:rsidR="00F87614" w:rsidRPr="00562388" w:rsidRDefault="005B592A" w:rsidP="00BE1970">
      <w:pPr>
        <w:pStyle w:val="NoSpacing"/>
        <w:rPr>
          <w:color w:val="auto"/>
        </w:rPr>
      </w:pPr>
      <w:r w:rsidRPr="00562388">
        <w:rPr>
          <w:color w:val="auto"/>
        </w:rPr>
        <w:t xml:space="preserve"> </w:t>
      </w:r>
    </w:p>
    <w:p w14:paraId="2439A2C0" w14:textId="0ACA63DD" w:rsidR="00F87614" w:rsidRPr="00562388" w:rsidRDefault="005B592A" w:rsidP="00BE1970">
      <w:pPr>
        <w:pStyle w:val="NoSpacing"/>
        <w:rPr>
          <w:color w:val="auto"/>
        </w:rPr>
      </w:pPr>
      <w:r w:rsidRPr="00562388">
        <w:rPr>
          <w:color w:val="auto"/>
        </w:rPr>
        <w:t xml:space="preserve">Personal development and lifelong learning courses are an established feature of </w:t>
      </w:r>
      <w:r w:rsidR="0029117F">
        <w:rPr>
          <w:color w:val="auto"/>
        </w:rPr>
        <w:t>Higher Education</w:t>
      </w:r>
      <w:r w:rsidRPr="00562388">
        <w:rPr>
          <w:color w:val="auto"/>
        </w:rPr>
        <w:t>. An example is a summer school offering courses at an entry undergraduate level, aimed at the general public and ‘leisure learners’. This liberated academic space has</w:t>
      </w:r>
      <w:r w:rsidR="00DE3B23">
        <w:rPr>
          <w:color w:val="auto"/>
        </w:rPr>
        <w:t xml:space="preserve"> enabled MOOCs to flourish </w:t>
      </w:r>
      <w:r w:rsidR="00B941C8">
        <w:rPr>
          <w:color w:val="auto"/>
        </w:rPr>
        <w:t>whereby</w:t>
      </w:r>
      <w:r w:rsidR="00DE3B23">
        <w:rPr>
          <w:color w:val="auto"/>
        </w:rPr>
        <w:t xml:space="preserve"> it is tolerable to </w:t>
      </w:r>
      <w:r w:rsidR="00B927F2">
        <w:rPr>
          <w:color w:val="auto"/>
        </w:rPr>
        <w:t>envisage</w:t>
      </w:r>
      <w:r w:rsidR="00DE3B23">
        <w:rPr>
          <w:color w:val="auto"/>
        </w:rPr>
        <w:t xml:space="preserve"> forms of learning requiring </w:t>
      </w:r>
      <w:r w:rsidRPr="00562388">
        <w:rPr>
          <w:color w:val="auto"/>
        </w:rPr>
        <w:t xml:space="preserve"> no formal entry </w:t>
      </w:r>
      <w:r w:rsidR="00DE3B23">
        <w:rPr>
          <w:color w:val="auto"/>
        </w:rPr>
        <w:t>or</w:t>
      </w:r>
      <w:r w:rsidRPr="00562388">
        <w:rPr>
          <w:color w:val="auto"/>
        </w:rPr>
        <w:t xml:space="preserve"> integration with full degree curricula, </w:t>
      </w:r>
      <w:r w:rsidR="00DE3B23">
        <w:rPr>
          <w:color w:val="auto"/>
        </w:rPr>
        <w:t>offer</w:t>
      </w:r>
      <w:r w:rsidR="00F7009C">
        <w:rPr>
          <w:color w:val="auto"/>
        </w:rPr>
        <w:t>ing</w:t>
      </w:r>
      <w:r w:rsidR="00DE3B23">
        <w:rPr>
          <w:color w:val="auto"/>
        </w:rPr>
        <w:t xml:space="preserve">  </w:t>
      </w:r>
      <w:r w:rsidRPr="00562388">
        <w:rPr>
          <w:color w:val="auto"/>
        </w:rPr>
        <w:t xml:space="preserve">informal </w:t>
      </w:r>
      <w:r w:rsidR="00443B19" w:rsidRPr="00562388">
        <w:rPr>
          <w:color w:val="auto"/>
        </w:rPr>
        <w:t>assessment, all</w:t>
      </w:r>
      <w:r w:rsidR="00DE3B23">
        <w:rPr>
          <w:color w:val="auto"/>
        </w:rPr>
        <w:t xml:space="preserve"> at no cost to</w:t>
      </w:r>
      <w:r w:rsidRPr="00562388">
        <w:rPr>
          <w:color w:val="auto"/>
        </w:rPr>
        <w:t xml:space="preserve"> participant</w:t>
      </w:r>
      <w:r w:rsidR="00543B71">
        <w:rPr>
          <w:color w:val="auto"/>
        </w:rPr>
        <w:t>s</w:t>
      </w:r>
      <w:r w:rsidRPr="00562388">
        <w:rPr>
          <w:color w:val="auto"/>
        </w:rPr>
        <w:t>.</w:t>
      </w:r>
    </w:p>
    <w:p w14:paraId="52257684" w14:textId="77777777" w:rsidR="00F87614" w:rsidRPr="00562388" w:rsidRDefault="005B592A" w:rsidP="00BE1970">
      <w:pPr>
        <w:pStyle w:val="NoSpacing"/>
        <w:rPr>
          <w:color w:val="auto"/>
        </w:rPr>
      </w:pPr>
      <w:r w:rsidRPr="00562388">
        <w:rPr>
          <w:color w:val="auto"/>
        </w:rPr>
        <w:t xml:space="preserve"> </w:t>
      </w:r>
    </w:p>
    <w:p w14:paraId="02408CD5" w14:textId="77777777" w:rsidR="00E975C4" w:rsidRDefault="005B592A" w:rsidP="00BE1970">
      <w:pPr>
        <w:pStyle w:val="NoSpacing"/>
        <w:rPr>
          <w:color w:val="auto"/>
        </w:rPr>
      </w:pPr>
      <w:r w:rsidRPr="00562388">
        <w:rPr>
          <w:color w:val="auto"/>
        </w:rPr>
        <w:t xml:space="preserve">Conventional MOOCs are more naturally located in the semi-formal and non-formal domains, although they may influence pedagogical innovation in the formal domain. While MOOCs do not in themselves replace pathways of courses that lead to a degree, there are opportunities to move or re-offer courses in MOOC format in the semi-formal and non-formal domains. Making decisions to re-locate, re-purpose or offer courses in more than one domain is an opportunity for universities to meet various goals that may include reaching out to learners outside of the student body or conversely serve the needs of their own student body better.   </w:t>
      </w:r>
    </w:p>
    <w:p w14:paraId="016789EB" w14:textId="77777777" w:rsidR="00F3571C" w:rsidRPr="00562388" w:rsidRDefault="00F3571C" w:rsidP="00F3571C">
      <w:pPr>
        <w:pStyle w:val="Heading1"/>
        <w:widowControl w:val="0"/>
        <w:spacing w:before="480" w:after="120"/>
        <w:contextualSpacing w:val="0"/>
        <w:rPr>
          <w:rFonts w:ascii="Century Gothic" w:hAnsi="Century Gothic"/>
          <w:color w:val="auto"/>
          <w:szCs w:val="32"/>
        </w:rPr>
      </w:pPr>
      <w:bookmarkStart w:id="25" w:name="h.mskcyqukol57" w:colFirst="0" w:colLast="0"/>
      <w:bookmarkEnd w:id="25"/>
      <w:r w:rsidRPr="00562388">
        <w:rPr>
          <w:rFonts w:ascii="Century Gothic" w:eastAsia="Arial" w:hAnsi="Century Gothic" w:cs="Arial"/>
          <w:b/>
          <w:color w:val="auto"/>
          <w:szCs w:val="32"/>
        </w:rPr>
        <w:t>MOOC</w:t>
      </w:r>
      <w:r>
        <w:rPr>
          <w:rFonts w:ascii="Century Gothic" w:eastAsia="Arial" w:hAnsi="Century Gothic" w:cs="Arial"/>
          <w:b/>
          <w:color w:val="auto"/>
          <w:szCs w:val="32"/>
        </w:rPr>
        <w:t xml:space="preserve"> categories</w:t>
      </w:r>
    </w:p>
    <w:p w14:paraId="7C22BB3C" w14:textId="77777777" w:rsidR="00F3571C" w:rsidRPr="00562388" w:rsidRDefault="00F3571C" w:rsidP="00F3571C">
      <w:pPr>
        <w:pStyle w:val="NoSpacing"/>
        <w:rPr>
          <w:color w:val="auto"/>
        </w:rPr>
      </w:pPr>
      <w:r>
        <w:rPr>
          <w:color w:val="auto"/>
        </w:rPr>
        <w:t xml:space="preserve">The term </w:t>
      </w:r>
      <w:r w:rsidRPr="00562388">
        <w:rPr>
          <w:color w:val="auto"/>
        </w:rPr>
        <w:t>MOOC</w:t>
      </w:r>
      <w:r>
        <w:rPr>
          <w:color w:val="auto"/>
        </w:rPr>
        <w:t xml:space="preserve"> in the literature</w:t>
      </w:r>
      <w:r w:rsidRPr="00562388">
        <w:rPr>
          <w:color w:val="auto"/>
        </w:rPr>
        <w:t xml:space="preserve"> may refer to a very diverse range of courses in form, </w:t>
      </w:r>
      <w:r>
        <w:rPr>
          <w:color w:val="auto"/>
        </w:rPr>
        <w:t>purpose</w:t>
      </w:r>
      <w:r w:rsidRPr="00562388">
        <w:rPr>
          <w:color w:val="auto"/>
        </w:rPr>
        <w:t xml:space="preserve"> and </w:t>
      </w:r>
      <w:r>
        <w:rPr>
          <w:color w:val="auto"/>
        </w:rPr>
        <w:t xml:space="preserve">degree of </w:t>
      </w:r>
      <w:r w:rsidRPr="00562388">
        <w:rPr>
          <w:color w:val="auto"/>
        </w:rPr>
        <w:t xml:space="preserve">openness. </w:t>
      </w:r>
      <w:r>
        <w:rPr>
          <w:color w:val="auto"/>
        </w:rPr>
        <w:t>Here</w:t>
      </w:r>
      <w:r w:rsidRPr="00562388">
        <w:rPr>
          <w:color w:val="auto"/>
        </w:rPr>
        <w:t xml:space="preserve"> we use a broadened definition of MOOCs to encompass a variety of types of online courses</w:t>
      </w:r>
      <w:r>
        <w:rPr>
          <w:color w:val="auto"/>
        </w:rPr>
        <w:t xml:space="preserve"> that are being offered</w:t>
      </w:r>
      <w:r w:rsidRPr="00562388">
        <w:rPr>
          <w:color w:val="auto"/>
        </w:rPr>
        <w:t xml:space="preserve"> with varying degrees of massiveness and openness. The binary distinction between xMOOCs and cMOOCs (Yuan, Powell &amp; Olivier, 2014), while </w:t>
      </w:r>
      <w:r>
        <w:rPr>
          <w:color w:val="auto"/>
        </w:rPr>
        <w:t>informing the</w:t>
      </w:r>
      <w:r w:rsidRPr="00562388">
        <w:rPr>
          <w:color w:val="auto"/>
        </w:rPr>
        <w:t xml:space="preserve"> historical </w:t>
      </w:r>
      <w:r>
        <w:rPr>
          <w:color w:val="auto"/>
        </w:rPr>
        <w:t>origins</w:t>
      </w:r>
      <w:r w:rsidRPr="00562388">
        <w:rPr>
          <w:color w:val="auto"/>
        </w:rPr>
        <w:t>, is largely superficial (Conole</w:t>
      </w:r>
      <w:r w:rsidR="00145320">
        <w:rPr>
          <w:color w:val="auto"/>
        </w:rPr>
        <w:t>,</w:t>
      </w:r>
      <w:r w:rsidRPr="00562388">
        <w:rPr>
          <w:color w:val="auto"/>
        </w:rPr>
        <w:t xml:space="preserve"> 2013). </w:t>
      </w:r>
      <w:r>
        <w:rPr>
          <w:color w:val="auto"/>
        </w:rPr>
        <w:t>Proposed t</w:t>
      </w:r>
      <w:r w:rsidRPr="00562388">
        <w:rPr>
          <w:color w:val="auto"/>
        </w:rPr>
        <w:t>axonomies</w:t>
      </w:r>
      <w:r>
        <w:rPr>
          <w:color w:val="auto"/>
        </w:rPr>
        <w:t xml:space="preserve"> for </w:t>
      </w:r>
      <w:r w:rsidRPr="00562388">
        <w:rPr>
          <w:color w:val="auto"/>
        </w:rPr>
        <w:t xml:space="preserve">MOOC </w:t>
      </w:r>
      <w:r>
        <w:rPr>
          <w:color w:val="auto"/>
        </w:rPr>
        <w:t>have</w:t>
      </w:r>
      <w:r w:rsidRPr="00562388">
        <w:rPr>
          <w:color w:val="auto"/>
        </w:rPr>
        <w:t xml:space="preserve"> </w:t>
      </w:r>
      <w:r>
        <w:rPr>
          <w:color w:val="auto"/>
        </w:rPr>
        <w:t xml:space="preserve">typically been </w:t>
      </w:r>
      <w:r w:rsidRPr="00562388">
        <w:rPr>
          <w:color w:val="auto"/>
        </w:rPr>
        <w:t xml:space="preserve">based on a design and learning </w:t>
      </w:r>
      <w:r>
        <w:rPr>
          <w:color w:val="auto"/>
        </w:rPr>
        <w:t>form</w:t>
      </w:r>
      <w:r w:rsidRPr="00562388">
        <w:rPr>
          <w:color w:val="auto"/>
        </w:rPr>
        <w:t xml:space="preserve"> perspective intended to inform developers rather than users and </w:t>
      </w:r>
      <w:r w:rsidR="003323DA">
        <w:rPr>
          <w:color w:val="auto"/>
        </w:rPr>
        <w:t xml:space="preserve">are </w:t>
      </w:r>
      <w:r w:rsidRPr="00562388">
        <w:rPr>
          <w:color w:val="auto"/>
        </w:rPr>
        <w:t>insufficiently cognisant of institutional context (Conole, 2013; Clark, 2013; Rosselle, Caron &amp; Heutte, 2014).</w:t>
      </w:r>
    </w:p>
    <w:p w14:paraId="5B75ECD8" w14:textId="77777777" w:rsidR="00F3571C" w:rsidRPr="00562388" w:rsidRDefault="00F3571C" w:rsidP="00F3571C">
      <w:pPr>
        <w:pStyle w:val="NoSpacing"/>
        <w:rPr>
          <w:color w:val="auto"/>
        </w:rPr>
      </w:pPr>
      <w:r w:rsidRPr="00562388">
        <w:rPr>
          <w:color w:val="auto"/>
        </w:rPr>
        <w:t xml:space="preserve"> </w:t>
      </w:r>
    </w:p>
    <w:p w14:paraId="560BF176" w14:textId="77777777" w:rsidR="00F3571C" w:rsidRPr="00562388" w:rsidRDefault="00104C3E" w:rsidP="00F3571C">
      <w:pPr>
        <w:pStyle w:val="NoSpacing"/>
        <w:rPr>
          <w:color w:val="auto"/>
        </w:rPr>
      </w:pPr>
      <w:r>
        <w:rPr>
          <w:color w:val="auto"/>
        </w:rPr>
        <w:t xml:space="preserve">We have developed a </w:t>
      </w:r>
      <w:r w:rsidR="00F3571C">
        <w:rPr>
          <w:color w:val="auto"/>
        </w:rPr>
        <w:t xml:space="preserve"> purpose-focused</w:t>
      </w:r>
      <w:r w:rsidR="00F3571C" w:rsidRPr="00562388">
        <w:rPr>
          <w:color w:val="auto"/>
        </w:rPr>
        <w:t xml:space="preserve"> categorisation of MOOCs </w:t>
      </w:r>
      <w:r>
        <w:rPr>
          <w:color w:val="auto"/>
        </w:rPr>
        <w:t xml:space="preserve">that </w:t>
      </w:r>
      <w:r w:rsidR="00F3571C">
        <w:rPr>
          <w:color w:val="auto"/>
        </w:rPr>
        <w:t xml:space="preserve">is informed by the </w:t>
      </w:r>
      <w:r w:rsidR="00F3571C" w:rsidRPr="00562388">
        <w:rPr>
          <w:color w:val="auto"/>
        </w:rPr>
        <w:t xml:space="preserve">institutional </w:t>
      </w:r>
      <w:r w:rsidR="00F7009C">
        <w:rPr>
          <w:color w:val="auto"/>
        </w:rPr>
        <w:t>rationale</w:t>
      </w:r>
      <w:r w:rsidR="00F3571C" w:rsidRPr="00562388">
        <w:rPr>
          <w:color w:val="auto"/>
        </w:rPr>
        <w:t>, participant interest</w:t>
      </w:r>
      <w:r w:rsidR="00F3571C">
        <w:rPr>
          <w:color w:val="auto"/>
        </w:rPr>
        <w:t>,</w:t>
      </w:r>
      <w:r w:rsidR="00F3571C" w:rsidRPr="00562388">
        <w:rPr>
          <w:color w:val="auto"/>
        </w:rPr>
        <w:t xml:space="preserve"> and local context. </w:t>
      </w:r>
      <w:r w:rsidR="00F3571C">
        <w:rPr>
          <w:color w:val="auto"/>
        </w:rPr>
        <w:t>Such c</w:t>
      </w:r>
      <w:r w:rsidR="00F3571C" w:rsidRPr="00562388">
        <w:rPr>
          <w:color w:val="auto"/>
        </w:rPr>
        <w:t xml:space="preserve">ategories help establish which forms of courses would suit particular types of MOOCs offerings, allowing for the inclusion of real contextual examples. </w:t>
      </w:r>
      <w:r w:rsidR="00F3571C">
        <w:rPr>
          <w:color w:val="auto"/>
        </w:rPr>
        <w:t>Individual institutions developing MOOCs would have additional criteria that overlay these categories.</w:t>
      </w:r>
      <w:r w:rsidR="00F7009C">
        <w:rPr>
          <w:color w:val="auto"/>
        </w:rPr>
        <w:t xml:space="preserve"> For instance,</w:t>
      </w:r>
      <w:r w:rsidR="00F3571C">
        <w:rPr>
          <w:color w:val="auto"/>
        </w:rPr>
        <w:t xml:space="preserve"> </w:t>
      </w:r>
      <w:r w:rsidR="00F7009C">
        <w:rPr>
          <w:color w:val="auto"/>
        </w:rPr>
        <w:t>o</w:t>
      </w:r>
      <w:r w:rsidR="00F3571C" w:rsidRPr="00562388">
        <w:rPr>
          <w:color w:val="auto"/>
        </w:rPr>
        <w:t xml:space="preserve">ur </w:t>
      </w:r>
      <w:r w:rsidR="00F3571C">
        <w:rPr>
          <w:color w:val="auto"/>
        </w:rPr>
        <w:t>institution is seeking to</w:t>
      </w:r>
      <w:r w:rsidR="00F3571C" w:rsidRPr="00562388">
        <w:rPr>
          <w:color w:val="auto"/>
        </w:rPr>
        <w:t xml:space="preserve"> </w:t>
      </w:r>
      <w:r w:rsidR="00F3571C">
        <w:rPr>
          <w:color w:val="auto"/>
        </w:rPr>
        <w:t>address</w:t>
      </w:r>
      <w:r w:rsidR="00F3571C" w:rsidRPr="00562388">
        <w:rPr>
          <w:color w:val="auto"/>
        </w:rPr>
        <w:t xml:space="preserve"> the paucity of African generated content in the international MOOC provision and the overall lack of developing country input as well as considering endemic needs such as specific types of learning problems linked with </w:t>
      </w:r>
      <w:r w:rsidR="006238BC">
        <w:rPr>
          <w:color w:val="auto"/>
        </w:rPr>
        <w:t>poor</w:t>
      </w:r>
      <w:r w:rsidR="006238BC" w:rsidRPr="00562388">
        <w:rPr>
          <w:color w:val="auto"/>
        </w:rPr>
        <w:t xml:space="preserve"> </w:t>
      </w:r>
      <w:r w:rsidR="006238BC" w:rsidRPr="00562388" w:rsidDel="00194F15">
        <w:rPr>
          <w:color w:val="auto"/>
        </w:rPr>
        <w:t>graduation</w:t>
      </w:r>
      <w:r>
        <w:rPr>
          <w:color w:val="auto"/>
        </w:rPr>
        <w:t xml:space="preserve"> rates</w:t>
      </w:r>
      <w:r w:rsidR="00F3571C" w:rsidRPr="00562388">
        <w:rPr>
          <w:color w:val="auto"/>
        </w:rPr>
        <w:t xml:space="preserve"> and success.</w:t>
      </w:r>
    </w:p>
    <w:p w14:paraId="233B114A" w14:textId="77777777" w:rsidR="00F3571C" w:rsidRPr="00562388" w:rsidRDefault="00F3571C" w:rsidP="00F3571C">
      <w:pPr>
        <w:pStyle w:val="NoSpacing"/>
        <w:rPr>
          <w:color w:val="auto"/>
        </w:rPr>
      </w:pPr>
    </w:p>
    <w:p w14:paraId="2C12FA0F" w14:textId="5889CCDD" w:rsidR="00F3571C" w:rsidRPr="00562388" w:rsidRDefault="00F3571C" w:rsidP="00F3571C">
      <w:pPr>
        <w:pStyle w:val="NoSpacing"/>
        <w:rPr>
          <w:color w:val="auto"/>
        </w:rPr>
      </w:pPr>
      <w:r w:rsidRPr="00562388">
        <w:rPr>
          <w:color w:val="auto"/>
        </w:rPr>
        <w:t xml:space="preserve">The table below identifies the </w:t>
      </w:r>
      <w:r w:rsidR="00104C3E">
        <w:rPr>
          <w:color w:val="auto"/>
        </w:rPr>
        <w:t xml:space="preserve">five </w:t>
      </w:r>
      <w:r w:rsidRPr="00562388">
        <w:rPr>
          <w:color w:val="auto"/>
        </w:rPr>
        <w:t>categories we identify</w:t>
      </w:r>
      <w:r>
        <w:rPr>
          <w:color w:val="auto"/>
        </w:rPr>
        <w:t xml:space="preserve"> for our </w:t>
      </w:r>
      <w:r w:rsidR="00CA3428">
        <w:rPr>
          <w:color w:val="auto"/>
        </w:rPr>
        <w:t>specific</w:t>
      </w:r>
      <w:r w:rsidR="00104C3E">
        <w:rPr>
          <w:color w:val="auto"/>
        </w:rPr>
        <w:t xml:space="preserve"> </w:t>
      </w:r>
      <w:r w:rsidRPr="00562388">
        <w:rPr>
          <w:color w:val="auto"/>
        </w:rPr>
        <w:t xml:space="preserve">institutional </w:t>
      </w:r>
      <w:r>
        <w:rPr>
          <w:color w:val="auto"/>
        </w:rPr>
        <w:t>context</w:t>
      </w:r>
      <w:r w:rsidRPr="00562388">
        <w:rPr>
          <w:color w:val="auto"/>
        </w:rPr>
        <w:t xml:space="preserve"> </w:t>
      </w:r>
      <w:r w:rsidR="00B8404C">
        <w:rPr>
          <w:color w:val="auto"/>
        </w:rPr>
        <w:t>with</w:t>
      </w:r>
      <w:r w:rsidRPr="00562388">
        <w:rPr>
          <w:color w:val="auto"/>
        </w:rPr>
        <w:t xml:space="preserve"> illustrative examples</w:t>
      </w:r>
      <w:r>
        <w:rPr>
          <w:color w:val="auto"/>
        </w:rPr>
        <w:t xml:space="preserve"> of exemplary MOOCs</w:t>
      </w:r>
      <w:r w:rsidR="00B8404C">
        <w:rPr>
          <w:color w:val="auto"/>
        </w:rPr>
        <w:t xml:space="preserve"> provided</w:t>
      </w:r>
      <w:r w:rsidRPr="00562388">
        <w:rPr>
          <w:color w:val="auto"/>
        </w:rPr>
        <w:t xml:space="preserve">. Category </w:t>
      </w:r>
      <w:r w:rsidR="007717F2">
        <w:rPr>
          <w:color w:val="auto"/>
        </w:rPr>
        <w:t>one</w:t>
      </w:r>
      <w:r w:rsidRPr="00562388">
        <w:rPr>
          <w:color w:val="auto"/>
        </w:rPr>
        <w:t xml:space="preserve"> (</w:t>
      </w:r>
      <w:r>
        <w:rPr>
          <w:color w:val="auto"/>
        </w:rPr>
        <w:t>teaching</w:t>
      </w:r>
      <w:r w:rsidRPr="00562388">
        <w:rPr>
          <w:color w:val="auto"/>
        </w:rPr>
        <w:t xml:space="preserve"> showcase) and Category </w:t>
      </w:r>
      <w:r w:rsidR="007717F2">
        <w:rPr>
          <w:color w:val="auto"/>
        </w:rPr>
        <w:t>five</w:t>
      </w:r>
      <w:r w:rsidRPr="00562388">
        <w:rPr>
          <w:color w:val="auto"/>
        </w:rPr>
        <w:t xml:space="preserve"> (</w:t>
      </w:r>
      <w:r>
        <w:rPr>
          <w:color w:val="auto"/>
        </w:rPr>
        <w:t>research showcase</w:t>
      </w:r>
      <w:r w:rsidRPr="00562388">
        <w:rPr>
          <w:color w:val="auto"/>
        </w:rPr>
        <w:t xml:space="preserve">) </w:t>
      </w:r>
      <w:r>
        <w:rPr>
          <w:color w:val="auto"/>
        </w:rPr>
        <w:t xml:space="preserve">are primarily outward facing </w:t>
      </w:r>
      <w:r w:rsidRPr="00562388">
        <w:rPr>
          <w:color w:val="auto"/>
        </w:rPr>
        <w:t>MOOCs</w:t>
      </w:r>
      <w:r>
        <w:rPr>
          <w:color w:val="auto"/>
        </w:rPr>
        <w:t xml:space="preserve"> as they project what the institution does and can offer</w:t>
      </w:r>
      <w:r w:rsidR="00CA3428">
        <w:rPr>
          <w:color w:val="auto"/>
        </w:rPr>
        <w:t xml:space="preserve"> to anyone </w:t>
      </w:r>
      <w:r w:rsidR="006A1FB2">
        <w:rPr>
          <w:color w:val="auto"/>
        </w:rPr>
        <w:t>interested</w:t>
      </w:r>
      <w:r w:rsidR="00CA3428">
        <w:rPr>
          <w:color w:val="auto"/>
        </w:rPr>
        <w:t xml:space="preserve"> to the</w:t>
      </w:r>
      <w:r w:rsidR="006A1FB2">
        <w:rPr>
          <w:color w:val="auto"/>
        </w:rPr>
        <w:t>se</w:t>
      </w:r>
      <w:r w:rsidR="00CA3428">
        <w:rPr>
          <w:color w:val="auto"/>
        </w:rPr>
        <w:t xml:space="preserve"> topics</w:t>
      </w:r>
      <w:r w:rsidR="007717F2">
        <w:rPr>
          <w:color w:val="auto"/>
        </w:rPr>
        <w:t xml:space="preserve"> thus describing the</w:t>
      </w:r>
      <w:r w:rsidRPr="00562388">
        <w:rPr>
          <w:color w:val="auto"/>
        </w:rPr>
        <w:t xml:space="preserve"> </w:t>
      </w:r>
      <w:r w:rsidR="007717F2">
        <w:rPr>
          <w:color w:val="auto"/>
        </w:rPr>
        <w:t>conventional</w:t>
      </w:r>
      <w:r w:rsidR="007717F2" w:rsidRPr="00562388">
        <w:rPr>
          <w:color w:val="auto"/>
        </w:rPr>
        <w:t xml:space="preserve"> </w:t>
      </w:r>
      <w:r w:rsidRPr="00562388">
        <w:rPr>
          <w:color w:val="auto"/>
        </w:rPr>
        <w:t>MOOC types showcasing expertise and specialisms</w:t>
      </w:r>
      <w:r>
        <w:rPr>
          <w:color w:val="auto"/>
        </w:rPr>
        <w:t xml:space="preserve"> </w:t>
      </w:r>
      <w:r w:rsidRPr="00562388">
        <w:rPr>
          <w:color w:val="auto"/>
        </w:rPr>
        <w:t xml:space="preserve">aimed at a wide but still general </w:t>
      </w:r>
      <w:r w:rsidR="00CA3428" w:rsidRPr="00562388">
        <w:rPr>
          <w:color w:val="auto"/>
        </w:rPr>
        <w:t>audience. The</w:t>
      </w:r>
      <w:r w:rsidRPr="00562388">
        <w:rPr>
          <w:color w:val="auto"/>
        </w:rPr>
        <w:t xml:space="preserve"> </w:t>
      </w:r>
      <w:r>
        <w:rPr>
          <w:color w:val="auto"/>
        </w:rPr>
        <w:t xml:space="preserve">three </w:t>
      </w:r>
      <w:r w:rsidRPr="00562388">
        <w:rPr>
          <w:color w:val="auto"/>
        </w:rPr>
        <w:t xml:space="preserve">other categories </w:t>
      </w:r>
      <w:r>
        <w:rPr>
          <w:color w:val="auto"/>
        </w:rPr>
        <w:t>are more inward focused</w:t>
      </w:r>
      <w:r w:rsidRPr="00562388">
        <w:rPr>
          <w:color w:val="auto"/>
        </w:rPr>
        <w:t xml:space="preserve"> </w:t>
      </w:r>
      <w:r>
        <w:rPr>
          <w:color w:val="auto"/>
        </w:rPr>
        <w:t>in that there is greater alignment with study programmes within the institution</w:t>
      </w:r>
      <w:r w:rsidRPr="00562388">
        <w:rPr>
          <w:color w:val="auto"/>
        </w:rPr>
        <w:t xml:space="preserve">. </w:t>
      </w:r>
      <w:r>
        <w:rPr>
          <w:color w:val="auto"/>
        </w:rPr>
        <w:t xml:space="preserve">Here </w:t>
      </w:r>
      <w:r w:rsidRPr="00562388">
        <w:rPr>
          <w:color w:val="auto"/>
        </w:rPr>
        <w:t>MOOCs are envisaged help</w:t>
      </w:r>
      <w:r>
        <w:rPr>
          <w:color w:val="auto"/>
        </w:rPr>
        <w:t>ing prospective students with</w:t>
      </w:r>
      <w:r w:rsidRPr="00562388">
        <w:rPr>
          <w:color w:val="auto"/>
        </w:rPr>
        <w:t xml:space="preserve"> transitioning disjunctures between levels of study, such as school to university; undergraduate to postgraduate; world of work to research-type of study</w:t>
      </w:r>
      <w:r>
        <w:rPr>
          <w:color w:val="auto"/>
        </w:rPr>
        <w:t>,</w:t>
      </w:r>
      <w:r w:rsidRPr="00562388">
        <w:rPr>
          <w:color w:val="auto"/>
        </w:rPr>
        <w:t xml:space="preserve"> and professional to academic environments. </w:t>
      </w:r>
      <w:r>
        <w:rPr>
          <w:color w:val="auto"/>
        </w:rPr>
        <w:t xml:space="preserve">These MOOC categories are intended to improve </w:t>
      </w:r>
      <w:r w:rsidRPr="00562388">
        <w:rPr>
          <w:color w:val="auto"/>
        </w:rPr>
        <w:t xml:space="preserve">student success at university </w:t>
      </w:r>
      <w:r w:rsidR="006A1FB2">
        <w:rPr>
          <w:color w:val="auto"/>
        </w:rPr>
        <w:t xml:space="preserve">and </w:t>
      </w:r>
      <w:r w:rsidRPr="00562388">
        <w:rPr>
          <w:color w:val="auto"/>
        </w:rPr>
        <w:t xml:space="preserve">are grouped around three key transitional spaces: Category </w:t>
      </w:r>
      <w:r w:rsidR="007717F2">
        <w:rPr>
          <w:color w:val="auto"/>
        </w:rPr>
        <w:t>two</w:t>
      </w:r>
      <w:r w:rsidRPr="00562388">
        <w:rPr>
          <w:color w:val="auto"/>
        </w:rPr>
        <w:t xml:space="preserve"> undergraduate level ‘gateway skills’</w:t>
      </w:r>
      <w:r>
        <w:rPr>
          <w:color w:val="auto"/>
        </w:rPr>
        <w:t>,</w:t>
      </w:r>
      <w:r w:rsidRPr="00562388">
        <w:rPr>
          <w:color w:val="auto"/>
        </w:rPr>
        <w:t xml:space="preserve"> Category </w:t>
      </w:r>
      <w:r w:rsidR="007717F2">
        <w:rPr>
          <w:color w:val="auto"/>
        </w:rPr>
        <w:t>three</w:t>
      </w:r>
      <w:r w:rsidRPr="00562388">
        <w:rPr>
          <w:color w:val="auto"/>
        </w:rPr>
        <w:t xml:space="preserve"> </w:t>
      </w:r>
      <w:r w:rsidR="006A1FB2">
        <w:rPr>
          <w:color w:val="auto"/>
        </w:rPr>
        <w:t>‘</w:t>
      </w:r>
      <w:r w:rsidRPr="00562388">
        <w:rPr>
          <w:color w:val="auto"/>
        </w:rPr>
        <w:t>postgraduate level graduate literacies’</w:t>
      </w:r>
      <w:r>
        <w:rPr>
          <w:color w:val="auto"/>
        </w:rPr>
        <w:t>,</w:t>
      </w:r>
      <w:r w:rsidRPr="00562388">
        <w:rPr>
          <w:color w:val="auto"/>
        </w:rPr>
        <w:t xml:space="preserve"> and Category </w:t>
      </w:r>
      <w:r w:rsidR="007717F2">
        <w:rPr>
          <w:color w:val="auto"/>
        </w:rPr>
        <w:t>four</w:t>
      </w:r>
      <w:r>
        <w:rPr>
          <w:color w:val="auto"/>
        </w:rPr>
        <w:t xml:space="preserve"> workplace</w:t>
      </w:r>
      <w:r w:rsidRPr="00562388">
        <w:rPr>
          <w:color w:val="auto"/>
        </w:rPr>
        <w:t xml:space="preserve"> ‘professional development’. </w:t>
      </w:r>
      <w:r>
        <w:rPr>
          <w:color w:val="auto"/>
        </w:rPr>
        <w:t xml:space="preserve">Specific MOOCs could target multiple audiences </w:t>
      </w:r>
      <w:r w:rsidR="003323DA">
        <w:rPr>
          <w:color w:val="auto"/>
        </w:rPr>
        <w:t xml:space="preserve">and </w:t>
      </w:r>
      <w:r w:rsidR="006A1FB2">
        <w:rPr>
          <w:color w:val="auto"/>
        </w:rPr>
        <w:t xml:space="preserve">are likely to </w:t>
      </w:r>
      <w:r>
        <w:rPr>
          <w:color w:val="auto"/>
        </w:rPr>
        <w:t xml:space="preserve">fall </w:t>
      </w:r>
      <w:r w:rsidR="006A1FB2">
        <w:rPr>
          <w:color w:val="auto"/>
        </w:rPr>
        <w:t xml:space="preserve">within </w:t>
      </w:r>
      <w:r>
        <w:rPr>
          <w:color w:val="auto"/>
        </w:rPr>
        <w:t>several</w:t>
      </w:r>
      <w:r w:rsidR="006A1FB2">
        <w:rPr>
          <w:color w:val="auto"/>
        </w:rPr>
        <w:t xml:space="preserve"> of these</w:t>
      </w:r>
      <w:r>
        <w:rPr>
          <w:color w:val="auto"/>
        </w:rPr>
        <w:t xml:space="preserve"> categories. We </w:t>
      </w:r>
      <w:r w:rsidR="00104C3E">
        <w:rPr>
          <w:color w:val="auto"/>
        </w:rPr>
        <w:t xml:space="preserve">also </w:t>
      </w:r>
      <w:r>
        <w:rPr>
          <w:color w:val="auto"/>
        </w:rPr>
        <w:t xml:space="preserve">recognise </w:t>
      </w:r>
      <w:r w:rsidR="007717F2">
        <w:rPr>
          <w:color w:val="auto"/>
        </w:rPr>
        <w:t xml:space="preserve">there may be </w:t>
      </w:r>
      <w:r>
        <w:rPr>
          <w:color w:val="auto"/>
        </w:rPr>
        <w:t>additional MOOC categories</w:t>
      </w:r>
      <w:r w:rsidR="00104C3E">
        <w:rPr>
          <w:color w:val="auto"/>
        </w:rPr>
        <w:t>,</w:t>
      </w:r>
      <w:r>
        <w:rPr>
          <w:color w:val="auto"/>
        </w:rPr>
        <w:t xml:space="preserve"> which while not of interest in our context</w:t>
      </w:r>
      <w:r w:rsidR="00104C3E">
        <w:rPr>
          <w:color w:val="auto"/>
        </w:rPr>
        <w:t>,</w:t>
      </w:r>
      <w:r>
        <w:rPr>
          <w:color w:val="auto"/>
        </w:rPr>
        <w:t xml:space="preserve"> are </w:t>
      </w:r>
      <w:r w:rsidR="006A1FB2">
        <w:rPr>
          <w:color w:val="auto"/>
        </w:rPr>
        <w:t xml:space="preserve">being </w:t>
      </w:r>
      <w:r>
        <w:rPr>
          <w:color w:val="auto"/>
        </w:rPr>
        <w:t>developed by other types of institution</w:t>
      </w:r>
      <w:r w:rsidR="00B8404C">
        <w:rPr>
          <w:color w:val="auto"/>
        </w:rPr>
        <w:t>s</w:t>
      </w:r>
      <w:r>
        <w:rPr>
          <w:color w:val="auto"/>
        </w:rPr>
        <w:t xml:space="preserve">, </w:t>
      </w:r>
      <w:r w:rsidR="007717F2">
        <w:rPr>
          <w:color w:val="auto"/>
        </w:rPr>
        <w:t xml:space="preserve">one </w:t>
      </w:r>
      <w:r>
        <w:rPr>
          <w:color w:val="auto"/>
        </w:rPr>
        <w:t xml:space="preserve">such </w:t>
      </w:r>
      <w:r w:rsidR="007717F2">
        <w:rPr>
          <w:color w:val="auto"/>
        </w:rPr>
        <w:t>being what</w:t>
      </w:r>
      <w:r w:rsidR="00104C3E">
        <w:rPr>
          <w:color w:val="auto"/>
        </w:rPr>
        <w:t xml:space="preserve"> we </w:t>
      </w:r>
      <w:r w:rsidR="00DE3B23">
        <w:rPr>
          <w:color w:val="auto"/>
        </w:rPr>
        <w:t>describe</w:t>
      </w:r>
      <w:r w:rsidR="00104C3E">
        <w:rPr>
          <w:color w:val="auto"/>
        </w:rPr>
        <w:t xml:space="preserve"> </w:t>
      </w:r>
      <w:r w:rsidR="006A1FB2">
        <w:rPr>
          <w:color w:val="auto"/>
        </w:rPr>
        <w:t>as ‘advocacy’</w:t>
      </w:r>
      <w:r>
        <w:rPr>
          <w:color w:val="auto"/>
        </w:rPr>
        <w:t xml:space="preserve"> MOOCs</w:t>
      </w:r>
      <w:r w:rsidR="00D4467A">
        <w:rPr>
          <w:color w:val="auto"/>
        </w:rPr>
        <w:t>, those</w:t>
      </w:r>
      <w:r w:rsidR="002231B2">
        <w:rPr>
          <w:color w:val="auto"/>
        </w:rPr>
        <w:t xml:space="preserve"> </w:t>
      </w:r>
      <w:r>
        <w:rPr>
          <w:color w:val="auto"/>
        </w:rPr>
        <w:t>linked to public campaigns</w:t>
      </w:r>
      <w:r w:rsidR="00DE3B23">
        <w:rPr>
          <w:color w:val="auto"/>
        </w:rPr>
        <w:t xml:space="preserve"> </w:t>
      </w:r>
      <w:r w:rsidR="006A1FB2">
        <w:rPr>
          <w:color w:val="auto"/>
        </w:rPr>
        <w:t xml:space="preserve">in poverty relief, public health and financial </w:t>
      </w:r>
      <w:r w:rsidR="00B8404C">
        <w:rPr>
          <w:color w:val="auto"/>
        </w:rPr>
        <w:t>independence</w:t>
      </w:r>
      <w:r>
        <w:rPr>
          <w:color w:val="auto"/>
        </w:rPr>
        <w:t xml:space="preserve">. </w:t>
      </w:r>
    </w:p>
    <w:p w14:paraId="6F0FD16F" w14:textId="77777777" w:rsidR="00F3571C" w:rsidRPr="00562388" w:rsidRDefault="00F3571C" w:rsidP="00F3571C">
      <w:pPr>
        <w:widowControl w:val="0"/>
        <w:rPr>
          <w:color w:val="auto"/>
        </w:rPr>
      </w:pPr>
    </w:p>
    <w:tbl>
      <w:tblPr>
        <w:tblW w:w="9791" w:type="dxa"/>
        <w:tblInd w:w="30"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CellMar>
          <w:left w:w="10" w:type="dxa"/>
          <w:right w:w="10" w:type="dxa"/>
        </w:tblCellMar>
        <w:tblLook w:val="04A0" w:firstRow="1" w:lastRow="0" w:firstColumn="1" w:lastColumn="0" w:noHBand="0" w:noVBand="1"/>
      </w:tblPr>
      <w:tblGrid>
        <w:gridCol w:w="2616"/>
        <w:gridCol w:w="4472"/>
        <w:gridCol w:w="2703"/>
      </w:tblGrid>
      <w:tr w:rsidR="00F3571C" w:rsidRPr="00562388" w14:paraId="31C257B3" w14:textId="77777777" w:rsidTr="00F3571C">
        <w:tc>
          <w:tcPr>
            <w:tcW w:w="2616" w:type="dxa"/>
            <w:shd w:val="clear" w:color="auto" w:fill="B4A7D6"/>
            <w:tcMar>
              <w:top w:w="100" w:type="dxa"/>
              <w:left w:w="40" w:type="dxa"/>
              <w:bottom w:w="100" w:type="dxa"/>
              <w:right w:w="40" w:type="dxa"/>
            </w:tcMar>
            <w:vAlign w:val="bottom"/>
          </w:tcPr>
          <w:p w14:paraId="4CE2942C" w14:textId="77777777" w:rsidR="00F3571C" w:rsidRPr="00562388" w:rsidRDefault="00F3571C" w:rsidP="00F3571C">
            <w:pPr>
              <w:pStyle w:val="Title"/>
              <w:widowControl w:val="0"/>
              <w:ind w:left="80"/>
              <w:contextualSpacing w:val="0"/>
              <w:rPr>
                <w:color w:val="auto"/>
              </w:rPr>
            </w:pPr>
            <w:r w:rsidRPr="00562388">
              <w:rPr>
                <w:b/>
                <w:color w:val="auto"/>
                <w:sz w:val="20"/>
                <w:shd w:val="clear" w:color="auto" w:fill="B4A7D6"/>
              </w:rPr>
              <w:t>Category</w:t>
            </w:r>
          </w:p>
        </w:tc>
        <w:tc>
          <w:tcPr>
            <w:tcW w:w="4472" w:type="dxa"/>
            <w:shd w:val="clear" w:color="auto" w:fill="B4A7D6"/>
            <w:tcMar>
              <w:top w:w="100" w:type="dxa"/>
              <w:left w:w="40" w:type="dxa"/>
              <w:bottom w:w="100" w:type="dxa"/>
              <w:right w:w="40" w:type="dxa"/>
            </w:tcMar>
            <w:vAlign w:val="bottom"/>
          </w:tcPr>
          <w:p w14:paraId="2B5B37C6" w14:textId="77777777" w:rsidR="00F3571C" w:rsidRPr="00562388" w:rsidRDefault="00F3571C" w:rsidP="00F3571C">
            <w:pPr>
              <w:pStyle w:val="Title"/>
              <w:widowControl w:val="0"/>
              <w:ind w:left="80"/>
              <w:contextualSpacing w:val="0"/>
              <w:rPr>
                <w:color w:val="auto"/>
              </w:rPr>
            </w:pPr>
            <w:r w:rsidRPr="00562388">
              <w:rPr>
                <w:b/>
                <w:color w:val="auto"/>
                <w:sz w:val="20"/>
                <w:shd w:val="clear" w:color="auto" w:fill="B4A7D6"/>
              </w:rPr>
              <w:t>Description</w:t>
            </w:r>
          </w:p>
        </w:tc>
        <w:tc>
          <w:tcPr>
            <w:tcW w:w="2703" w:type="dxa"/>
            <w:shd w:val="clear" w:color="auto" w:fill="B4A7D6"/>
            <w:tcMar>
              <w:top w:w="100" w:type="dxa"/>
              <w:left w:w="40" w:type="dxa"/>
              <w:bottom w:w="100" w:type="dxa"/>
              <w:right w:w="40" w:type="dxa"/>
            </w:tcMar>
            <w:vAlign w:val="bottom"/>
          </w:tcPr>
          <w:p w14:paraId="65776DF6" w14:textId="77777777" w:rsidR="00F3571C" w:rsidRPr="00562388" w:rsidRDefault="00F3571C" w:rsidP="00F3571C">
            <w:pPr>
              <w:pStyle w:val="Title"/>
              <w:widowControl w:val="0"/>
              <w:ind w:left="80"/>
              <w:contextualSpacing w:val="0"/>
              <w:rPr>
                <w:color w:val="auto"/>
              </w:rPr>
            </w:pPr>
            <w:r w:rsidRPr="00562388">
              <w:rPr>
                <w:b/>
                <w:color w:val="auto"/>
                <w:sz w:val="20"/>
                <w:shd w:val="clear" w:color="auto" w:fill="B4A7D6"/>
              </w:rPr>
              <w:t>Current Examples</w:t>
            </w:r>
          </w:p>
        </w:tc>
      </w:tr>
      <w:tr w:rsidR="00F3571C" w:rsidRPr="00562388" w14:paraId="649EDCBC" w14:textId="77777777" w:rsidTr="00F3571C">
        <w:trPr>
          <w:trHeight w:val="2524"/>
        </w:trPr>
        <w:tc>
          <w:tcPr>
            <w:tcW w:w="2616" w:type="dxa"/>
            <w:shd w:val="clear" w:color="auto" w:fill="EEECE1"/>
            <w:tcMar>
              <w:top w:w="100" w:type="dxa"/>
              <w:left w:w="40" w:type="dxa"/>
              <w:bottom w:w="100" w:type="dxa"/>
              <w:right w:w="40" w:type="dxa"/>
            </w:tcMar>
          </w:tcPr>
          <w:p w14:paraId="07AB45FF" w14:textId="77777777" w:rsidR="00F3571C" w:rsidRDefault="00F3571C" w:rsidP="00F3571C">
            <w:pPr>
              <w:pStyle w:val="Title"/>
              <w:widowControl w:val="0"/>
              <w:ind w:left="80"/>
              <w:contextualSpacing w:val="0"/>
              <w:rPr>
                <w:color w:val="auto"/>
              </w:rPr>
            </w:pPr>
            <w:r w:rsidRPr="00562388">
              <w:rPr>
                <w:b/>
                <w:color w:val="auto"/>
                <w:sz w:val="20"/>
                <w:shd w:val="clear" w:color="auto" w:fill="EEECE1"/>
              </w:rPr>
              <w:t xml:space="preserve">Category One: </w:t>
            </w:r>
            <w:r>
              <w:rPr>
                <w:b/>
                <w:color w:val="auto"/>
                <w:sz w:val="20"/>
                <w:shd w:val="clear" w:color="auto" w:fill="EEECE1"/>
              </w:rPr>
              <w:t xml:space="preserve">Teaching </w:t>
            </w:r>
            <w:r w:rsidRPr="00562388">
              <w:rPr>
                <w:b/>
                <w:color w:val="auto"/>
                <w:sz w:val="20"/>
                <w:shd w:val="clear" w:color="auto" w:fill="EEECE1"/>
              </w:rPr>
              <w:t xml:space="preserve">Showcase </w:t>
            </w:r>
          </w:p>
        </w:tc>
        <w:tc>
          <w:tcPr>
            <w:tcW w:w="4472" w:type="dxa"/>
            <w:shd w:val="clear" w:color="auto" w:fill="EEECE1"/>
            <w:tcMar>
              <w:top w:w="100" w:type="dxa"/>
              <w:left w:w="40" w:type="dxa"/>
              <w:bottom w:w="100" w:type="dxa"/>
              <w:right w:w="40" w:type="dxa"/>
            </w:tcMar>
          </w:tcPr>
          <w:p w14:paraId="50A9048D" w14:textId="2B1CCC86" w:rsidR="00F3571C" w:rsidRPr="00562388" w:rsidRDefault="00F3571C" w:rsidP="00F3571C">
            <w:pPr>
              <w:pStyle w:val="Title"/>
              <w:widowControl w:val="0"/>
              <w:ind w:left="80"/>
              <w:contextualSpacing w:val="0"/>
              <w:rPr>
                <w:color w:val="auto"/>
              </w:rPr>
            </w:pPr>
            <w:r>
              <w:rPr>
                <w:color w:val="auto"/>
                <w:sz w:val="20"/>
                <w:shd w:val="clear" w:color="auto" w:fill="EEECE1"/>
              </w:rPr>
              <w:t>Exemplified by</w:t>
            </w:r>
            <w:r w:rsidRPr="00562388">
              <w:rPr>
                <w:color w:val="auto"/>
                <w:sz w:val="20"/>
                <w:shd w:val="clear" w:color="auto" w:fill="EEECE1"/>
              </w:rPr>
              <w:t xml:space="preserve"> general</w:t>
            </w:r>
            <w:r>
              <w:rPr>
                <w:color w:val="auto"/>
                <w:sz w:val="20"/>
                <w:shd w:val="clear" w:color="auto" w:fill="EEECE1"/>
              </w:rPr>
              <w:t>-</w:t>
            </w:r>
            <w:r w:rsidRPr="00562388">
              <w:rPr>
                <w:color w:val="auto"/>
                <w:sz w:val="20"/>
                <w:shd w:val="clear" w:color="auto" w:fill="EEECE1"/>
              </w:rPr>
              <w:t>interest high</w:t>
            </w:r>
            <w:r>
              <w:rPr>
                <w:color w:val="auto"/>
                <w:sz w:val="20"/>
                <w:shd w:val="clear" w:color="auto" w:fill="EEECE1"/>
              </w:rPr>
              <w:t>-</w:t>
            </w:r>
            <w:r w:rsidRPr="00562388">
              <w:rPr>
                <w:color w:val="auto"/>
                <w:sz w:val="20"/>
                <w:shd w:val="clear" w:color="auto" w:fill="EEECE1"/>
              </w:rPr>
              <w:t>profile course</w:t>
            </w:r>
            <w:r w:rsidR="00F548AF">
              <w:rPr>
                <w:color w:val="auto"/>
                <w:sz w:val="20"/>
                <w:shd w:val="clear" w:color="auto" w:fill="EEECE1"/>
              </w:rPr>
              <w:t>s</w:t>
            </w:r>
            <w:r w:rsidRPr="00562388">
              <w:rPr>
                <w:color w:val="auto"/>
                <w:sz w:val="20"/>
                <w:shd w:val="clear" w:color="auto" w:fill="EEECE1"/>
              </w:rPr>
              <w:t xml:space="preserve"> that showcase </w:t>
            </w:r>
            <w:r>
              <w:rPr>
                <w:color w:val="auto"/>
                <w:sz w:val="20"/>
                <w:shd w:val="clear" w:color="auto" w:fill="EEECE1"/>
              </w:rPr>
              <w:t>an</w:t>
            </w:r>
            <w:r w:rsidRPr="00562388">
              <w:rPr>
                <w:color w:val="auto"/>
                <w:sz w:val="20"/>
                <w:shd w:val="clear" w:color="auto" w:fill="EEECE1"/>
              </w:rPr>
              <w:t xml:space="preserve"> institution by </w:t>
            </w:r>
            <w:r>
              <w:rPr>
                <w:color w:val="auto"/>
                <w:sz w:val="20"/>
                <w:shd w:val="clear" w:color="auto" w:fill="EEECE1"/>
              </w:rPr>
              <w:t>having</w:t>
            </w:r>
            <w:r w:rsidRPr="00562388">
              <w:rPr>
                <w:color w:val="auto"/>
                <w:sz w:val="20"/>
                <w:shd w:val="clear" w:color="auto" w:fill="EEECE1"/>
              </w:rPr>
              <w:t xml:space="preserve"> engaging subject</w:t>
            </w:r>
            <w:r>
              <w:rPr>
                <w:color w:val="auto"/>
                <w:sz w:val="20"/>
                <w:shd w:val="clear" w:color="auto" w:fill="EEECE1"/>
              </w:rPr>
              <w:t xml:space="preserve"> matters and</w:t>
            </w:r>
            <w:r w:rsidRPr="00562388">
              <w:rPr>
                <w:color w:val="auto"/>
                <w:sz w:val="20"/>
                <w:shd w:val="clear" w:color="auto" w:fill="EEECE1"/>
              </w:rPr>
              <w:t xml:space="preserve"> </w:t>
            </w:r>
            <w:r>
              <w:rPr>
                <w:color w:val="auto"/>
                <w:sz w:val="20"/>
                <w:shd w:val="clear" w:color="auto" w:fill="EEECE1"/>
              </w:rPr>
              <w:t>being</w:t>
            </w:r>
            <w:r w:rsidRPr="00562388">
              <w:rPr>
                <w:color w:val="auto"/>
                <w:sz w:val="20"/>
                <w:shd w:val="clear" w:color="auto" w:fill="EEECE1"/>
              </w:rPr>
              <w:t xml:space="preserve"> personality led. </w:t>
            </w:r>
            <w:r>
              <w:rPr>
                <w:color w:val="auto"/>
                <w:sz w:val="20"/>
                <w:shd w:val="clear" w:color="auto" w:fill="EEECE1"/>
              </w:rPr>
              <w:t>These</w:t>
            </w:r>
            <w:r w:rsidRPr="00562388">
              <w:rPr>
                <w:color w:val="auto"/>
                <w:sz w:val="20"/>
                <w:shd w:val="clear" w:color="auto" w:fill="EEECE1"/>
              </w:rPr>
              <w:t xml:space="preserve"> match </w:t>
            </w:r>
            <w:r>
              <w:rPr>
                <w:color w:val="auto"/>
                <w:sz w:val="20"/>
                <w:shd w:val="clear" w:color="auto" w:fill="EEECE1"/>
              </w:rPr>
              <w:t>the</w:t>
            </w:r>
            <w:r w:rsidRPr="00562388">
              <w:rPr>
                <w:color w:val="auto"/>
                <w:sz w:val="20"/>
                <w:shd w:val="clear" w:color="auto" w:fill="EEECE1"/>
              </w:rPr>
              <w:t xml:space="preserve"> popular understanding of MOOCs</w:t>
            </w:r>
            <w:r>
              <w:rPr>
                <w:color w:val="auto"/>
                <w:sz w:val="20"/>
                <w:shd w:val="clear" w:color="auto" w:fill="EEECE1"/>
              </w:rPr>
              <w:t xml:space="preserve"> and enable an institution’s teaching to be showcased to increase the appeal of the institution as a place of learning.</w:t>
            </w:r>
          </w:p>
        </w:tc>
        <w:tc>
          <w:tcPr>
            <w:tcW w:w="2703" w:type="dxa"/>
            <w:shd w:val="clear" w:color="auto" w:fill="EEECE1"/>
            <w:tcMar>
              <w:top w:w="100" w:type="dxa"/>
              <w:left w:w="40" w:type="dxa"/>
              <w:bottom w:w="100" w:type="dxa"/>
              <w:right w:w="40" w:type="dxa"/>
            </w:tcMar>
          </w:tcPr>
          <w:p w14:paraId="7F2088E9" w14:textId="77777777" w:rsidR="00F3571C" w:rsidRDefault="00F3571C" w:rsidP="00F3571C">
            <w:pPr>
              <w:pStyle w:val="Title"/>
              <w:widowControl w:val="0"/>
              <w:ind w:left="80"/>
              <w:contextualSpacing w:val="0"/>
              <w:rPr>
                <w:color w:val="auto"/>
                <w:sz w:val="20"/>
                <w:u w:val="single"/>
                <w:shd w:val="clear" w:color="auto" w:fill="EEECE1"/>
              </w:rPr>
            </w:pPr>
            <w:r w:rsidRPr="00562388">
              <w:rPr>
                <w:color w:val="auto"/>
                <w:sz w:val="20"/>
                <w:shd w:val="clear" w:color="auto" w:fill="EEECE1"/>
              </w:rPr>
              <w:t>Gamification</w:t>
            </w:r>
            <w:r>
              <w:rPr>
                <w:color w:val="auto"/>
                <w:sz w:val="20"/>
                <w:shd w:val="clear" w:color="auto" w:fill="EEECE1"/>
              </w:rPr>
              <w:t xml:space="preserve"> [Cou</w:t>
            </w:r>
            <w:r w:rsidR="003323DA">
              <w:rPr>
                <w:color w:val="auto"/>
                <w:sz w:val="20"/>
                <w:shd w:val="clear" w:color="auto" w:fill="EEECE1"/>
              </w:rPr>
              <w:t>r</w:t>
            </w:r>
            <w:r>
              <w:rPr>
                <w:color w:val="auto"/>
                <w:sz w:val="20"/>
                <w:shd w:val="clear" w:color="auto" w:fill="EEECE1"/>
              </w:rPr>
              <w:t>sera]</w:t>
            </w:r>
            <w:r w:rsidRPr="00562388" w:rsidDel="005A08CC">
              <w:rPr>
                <w:color w:val="auto"/>
              </w:rPr>
              <w:t xml:space="preserve"> </w:t>
            </w:r>
          </w:p>
          <w:p w14:paraId="1E313DDF" w14:textId="77777777" w:rsidR="00F3571C" w:rsidRPr="00562388" w:rsidRDefault="00F3571C" w:rsidP="00F3571C">
            <w:pPr>
              <w:rPr>
                <w:color w:val="auto"/>
              </w:rPr>
            </w:pPr>
          </w:p>
          <w:p w14:paraId="621F44CA" w14:textId="77777777" w:rsidR="00F3571C" w:rsidRPr="00562388" w:rsidRDefault="00F3571C" w:rsidP="00F3571C">
            <w:pPr>
              <w:pStyle w:val="Title"/>
              <w:widowControl w:val="0"/>
              <w:ind w:left="80"/>
              <w:contextualSpacing w:val="0"/>
              <w:rPr>
                <w:color w:val="auto"/>
              </w:rPr>
            </w:pPr>
            <w:r w:rsidRPr="00562388">
              <w:rPr>
                <w:color w:val="auto"/>
                <w:sz w:val="20"/>
                <w:shd w:val="clear" w:color="auto" w:fill="EEECE1"/>
              </w:rPr>
              <w:t>Modern &amp; Contemporary American Poetry</w:t>
            </w:r>
            <w:r>
              <w:rPr>
                <w:color w:val="auto"/>
                <w:sz w:val="20"/>
                <w:shd w:val="clear" w:color="auto" w:fill="EEECE1"/>
              </w:rPr>
              <w:t xml:space="preserve"> [Cou</w:t>
            </w:r>
            <w:r w:rsidR="003323DA">
              <w:rPr>
                <w:color w:val="auto"/>
                <w:sz w:val="20"/>
                <w:shd w:val="clear" w:color="auto" w:fill="EEECE1"/>
              </w:rPr>
              <w:t>r</w:t>
            </w:r>
            <w:r>
              <w:rPr>
                <w:color w:val="auto"/>
                <w:sz w:val="20"/>
                <w:shd w:val="clear" w:color="auto" w:fill="EEECE1"/>
              </w:rPr>
              <w:t>sera]</w:t>
            </w:r>
          </w:p>
        </w:tc>
      </w:tr>
      <w:tr w:rsidR="00F3571C" w:rsidRPr="00562388" w14:paraId="464EC4BA" w14:textId="77777777" w:rsidTr="00F3571C">
        <w:tc>
          <w:tcPr>
            <w:tcW w:w="2616" w:type="dxa"/>
            <w:tcMar>
              <w:top w:w="100" w:type="dxa"/>
              <w:left w:w="40" w:type="dxa"/>
              <w:bottom w:w="100" w:type="dxa"/>
              <w:right w:w="40" w:type="dxa"/>
            </w:tcMar>
          </w:tcPr>
          <w:p w14:paraId="3D8712F4" w14:textId="77777777" w:rsidR="00F3571C" w:rsidRPr="00562388" w:rsidRDefault="00F3571C" w:rsidP="00F3571C">
            <w:pPr>
              <w:pStyle w:val="Title"/>
              <w:widowControl w:val="0"/>
              <w:ind w:left="80"/>
              <w:contextualSpacing w:val="0"/>
              <w:rPr>
                <w:color w:val="auto"/>
              </w:rPr>
            </w:pPr>
            <w:r w:rsidRPr="00562388">
              <w:rPr>
                <w:b/>
                <w:color w:val="auto"/>
                <w:sz w:val="20"/>
              </w:rPr>
              <w:t>Category Two: Gateway skills (undergraduate)</w:t>
            </w:r>
          </w:p>
        </w:tc>
        <w:tc>
          <w:tcPr>
            <w:tcW w:w="4472" w:type="dxa"/>
            <w:tcMar>
              <w:top w:w="100" w:type="dxa"/>
              <w:left w:w="40" w:type="dxa"/>
              <w:bottom w:w="100" w:type="dxa"/>
              <w:right w:w="40" w:type="dxa"/>
            </w:tcMar>
          </w:tcPr>
          <w:p w14:paraId="01EF01BF" w14:textId="45F3CCA9" w:rsidR="00F3571C" w:rsidRPr="00562388" w:rsidRDefault="00F3571C" w:rsidP="00F548AF">
            <w:pPr>
              <w:pStyle w:val="Title"/>
              <w:widowControl w:val="0"/>
              <w:ind w:left="80"/>
              <w:contextualSpacing w:val="0"/>
              <w:rPr>
                <w:color w:val="auto"/>
              </w:rPr>
            </w:pPr>
            <w:r>
              <w:rPr>
                <w:color w:val="auto"/>
                <w:sz w:val="20"/>
              </w:rPr>
              <w:t>Includes courses</w:t>
            </w:r>
            <w:r w:rsidRPr="00562388">
              <w:rPr>
                <w:color w:val="auto"/>
                <w:sz w:val="20"/>
              </w:rPr>
              <w:t xml:space="preserve"> provid</w:t>
            </w:r>
            <w:r>
              <w:rPr>
                <w:color w:val="auto"/>
                <w:sz w:val="20"/>
              </w:rPr>
              <w:t>ing</w:t>
            </w:r>
            <w:r w:rsidRPr="00562388">
              <w:rPr>
                <w:color w:val="auto"/>
                <w:sz w:val="20"/>
              </w:rPr>
              <w:t xml:space="preserve"> foundational or enhancement skills, </w:t>
            </w:r>
            <w:r>
              <w:rPr>
                <w:color w:val="auto"/>
                <w:sz w:val="20"/>
              </w:rPr>
              <w:t>that perspective</w:t>
            </w:r>
            <w:r w:rsidRPr="00562388">
              <w:rPr>
                <w:color w:val="auto"/>
                <w:sz w:val="20"/>
              </w:rPr>
              <w:t xml:space="preserve"> students could take prior to </w:t>
            </w:r>
            <w:r>
              <w:rPr>
                <w:color w:val="auto"/>
                <w:sz w:val="20"/>
              </w:rPr>
              <w:t>entering a study programme.</w:t>
            </w:r>
            <w:r w:rsidRPr="00562388">
              <w:rPr>
                <w:color w:val="auto"/>
                <w:sz w:val="20"/>
              </w:rPr>
              <w:t xml:space="preserve"> </w:t>
            </w:r>
            <w:r>
              <w:rPr>
                <w:color w:val="auto"/>
                <w:sz w:val="20"/>
              </w:rPr>
              <w:t>The purposes include making perspective students aware of expectations and opportunities as well as developing necessary skills to study further.</w:t>
            </w:r>
            <w:r w:rsidRPr="00562388">
              <w:rPr>
                <w:color w:val="auto"/>
                <w:sz w:val="20"/>
              </w:rPr>
              <w:t xml:space="preserve"> </w:t>
            </w:r>
            <w:r>
              <w:rPr>
                <w:color w:val="auto"/>
                <w:sz w:val="20"/>
              </w:rPr>
              <w:t>This c</w:t>
            </w:r>
            <w:r w:rsidRPr="00562388">
              <w:rPr>
                <w:color w:val="auto"/>
                <w:sz w:val="20"/>
              </w:rPr>
              <w:t xml:space="preserve">ould also </w:t>
            </w:r>
            <w:r>
              <w:rPr>
                <w:color w:val="auto"/>
                <w:sz w:val="20"/>
              </w:rPr>
              <w:t xml:space="preserve">supplement </w:t>
            </w:r>
            <w:r w:rsidRPr="00562388">
              <w:rPr>
                <w:color w:val="auto"/>
                <w:sz w:val="20"/>
              </w:rPr>
              <w:t xml:space="preserve">campus-based teaching. </w:t>
            </w:r>
            <w:r>
              <w:rPr>
                <w:color w:val="auto"/>
                <w:sz w:val="20"/>
              </w:rPr>
              <w:t>The embedded assumptions about student</w:t>
            </w:r>
            <w:r w:rsidR="00F548AF">
              <w:rPr>
                <w:color w:val="auto"/>
                <w:sz w:val="20"/>
              </w:rPr>
              <w:t>s</w:t>
            </w:r>
            <w:r>
              <w:rPr>
                <w:color w:val="auto"/>
                <w:sz w:val="20"/>
              </w:rPr>
              <w:t xml:space="preserve"> mean that these tend to be </w:t>
            </w:r>
            <w:r w:rsidRPr="00562388">
              <w:rPr>
                <w:color w:val="auto"/>
                <w:sz w:val="20"/>
              </w:rPr>
              <w:t>of local interest, either within the institution or at a country-wide setting.</w:t>
            </w:r>
          </w:p>
        </w:tc>
        <w:tc>
          <w:tcPr>
            <w:tcW w:w="2703" w:type="dxa"/>
            <w:tcMar>
              <w:top w:w="100" w:type="dxa"/>
              <w:left w:w="40" w:type="dxa"/>
              <w:bottom w:w="100" w:type="dxa"/>
              <w:right w:w="40" w:type="dxa"/>
            </w:tcMar>
          </w:tcPr>
          <w:p w14:paraId="4922AD77" w14:textId="77777777" w:rsidR="00F3571C" w:rsidRPr="00D50341" w:rsidRDefault="009C0FE6" w:rsidP="00F3571C">
            <w:pPr>
              <w:pStyle w:val="Title"/>
              <w:widowControl w:val="0"/>
              <w:ind w:left="80"/>
              <w:contextualSpacing w:val="0"/>
              <w:rPr>
                <w:color w:val="auto"/>
                <w:sz w:val="20"/>
              </w:rPr>
            </w:pPr>
            <w:r>
              <w:rPr>
                <w:color w:val="auto"/>
                <w:sz w:val="20"/>
              </w:rPr>
              <w:t xml:space="preserve">Introduction to </w:t>
            </w:r>
            <w:r w:rsidR="00F3571C" w:rsidRPr="00562388">
              <w:rPr>
                <w:color w:val="auto"/>
                <w:sz w:val="20"/>
              </w:rPr>
              <w:t>Mathematic</w:t>
            </w:r>
            <w:r>
              <w:rPr>
                <w:color w:val="auto"/>
                <w:sz w:val="20"/>
              </w:rPr>
              <w:t>al Thinking</w:t>
            </w:r>
            <w:r w:rsidR="00F3571C" w:rsidRPr="00D50341">
              <w:rPr>
                <w:color w:val="auto"/>
                <w:sz w:val="20"/>
              </w:rPr>
              <w:t xml:space="preserve"> [Cou</w:t>
            </w:r>
            <w:r w:rsidR="006A539D">
              <w:rPr>
                <w:color w:val="auto"/>
                <w:sz w:val="20"/>
              </w:rPr>
              <w:t>r</w:t>
            </w:r>
            <w:r w:rsidR="00F3571C" w:rsidRPr="00D50341">
              <w:rPr>
                <w:color w:val="auto"/>
                <w:sz w:val="20"/>
              </w:rPr>
              <w:t>sera]</w:t>
            </w:r>
          </w:p>
          <w:p w14:paraId="52658719" w14:textId="77777777" w:rsidR="00F3571C" w:rsidRPr="00562388" w:rsidRDefault="00F7009C" w:rsidP="00F3571C">
            <w:pPr>
              <w:pStyle w:val="Title"/>
              <w:widowControl w:val="0"/>
              <w:ind w:left="80"/>
              <w:contextualSpacing w:val="0"/>
              <w:rPr>
                <w:color w:val="auto"/>
              </w:rPr>
            </w:pPr>
            <w:r>
              <w:rPr>
                <w:color w:val="auto"/>
                <w:sz w:val="20"/>
              </w:rPr>
              <w:t>Preparing for Uni</w:t>
            </w:r>
          </w:p>
          <w:p w14:paraId="1BFCA4E6" w14:textId="77777777" w:rsidR="00F3571C" w:rsidRDefault="00F3571C" w:rsidP="00F7009C">
            <w:pPr>
              <w:pStyle w:val="Title"/>
              <w:widowControl w:val="0"/>
              <w:ind w:left="80"/>
              <w:contextualSpacing w:val="0"/>
              <w:rPr>
                <w:color w:val="auto"/>
              </w:rPr>
            </w:pPr>
            <w:r w:rsidRPr="00D50341">
              <w:rPr>
                <w:color w:val="auto"/>
                <w:sz w:val="20"/>
              </w:rPr>
              <w:t>[FutureLearn]</w:t>
            </w:r>
            <w:r w:rsidR="00F7009C" w:rsidRPr="00F726E5" w:rsidDel="00F7009C">
              <w:t xml:space="preserve"> </w:t>
            </w:r>
          </w:p>
        </w:tc>
      </w:tr>
      <w:tr w:rsidR="00F3571C" w:rsidRPr="00562388" w14:paraId="2E0B3BC4" w14:textId="77777777" w:rsidTr="00F3571C">
        <w:tc>
          <w:tcPr>
            <w:tcW w:w="2616" w:type="dxa"/>
            <w:shd w:val="clear" w:color="auto" w:fill="EEECE1"/>
            <w:tcMar>
              <w:top w:w="100" w:type="dxa"/>
              <w:left w:w="40" w:type="dxa"/>
              <w:bottom w:w="100" w:type="dxa"/>
              <w:right w:w="40" w:type="dxa"/>
            </w:tcMar>
          </w:tcPr>
          <w:p w14:paraId="56DDDDC0" w14:textId="77777777" w:rsidR="00F3571C" w:rsidRPr="00562388" w:rsidRDefault="00F3571C" w:rsidP="00F3571C">
            <w:pPr>
              <w:pStyle w:val="Title"/>
              <w:widowControl w:val="0"/>
              <w:ind w:left="80"/>
              <w:contextualSpacing w:val="0"/>
              <w:rPr>
                <w:color w:val="auto"/>
              </w:rPr>
            </w:pPr>
            <w:r w:rsidRPr="00562388">
              <w:rPr>
                <w:b/>
                <w:color w:val="auto"/>
                <w:sz w:val="20"/>
                <w:shd w:val="clear" w:color="auto" w:fill="EEECE1"/>
              </w:rPr>
              <w:t>Category Three: Graduate Literacies (postgraduate)</w:t>
            </w:r>
          </w:p>
        </w:tc>
        <w:tc>
          <w:tcPr>
            <w:tcW w:w="4472" w:type="dxa"/>
            <w:shd w:val="clear" w:color="auto" w:fill="EEECE1"/>
            <w:tcMar>
              <w:top w:w="100" w:type="dxa"/>
              <w:left w:w="40" w:type="dxa"/>
              <w:bottom w:w="100" w:type="dxa"/>
              <w:right w:w="40" w:type="dxa"/>
            </w:tcMar>
          </w:tcPr>
          <w:p w14:paraId="1890E1D9" w14:textId="77777777" w:rsidR="00F3571C" w:rsidRPr="00562388" w:rsidRDefault="00F3571C" w:rsidP="00F3571C">
            <w:pPr>
              <w:pStyle w:val="Title"/>
              <w:widowControl w:val="0"/>
              <w:ind w:left="80"/>
              <w:contextualSpacing w:val="0"/>
              <w:rPr>
                <w:color w:val="auto"/>
              </w:rPr>
            </w:pPr>
            <w:r>
              <w:rPr>
                <w:color w:val="auto"/>
                <w:sz w:val="20"/>
              </w:rPr>
              <w:t>Focuses on students starting</w:t>
            </w:r>
            <w:r w:rsidRPr="00562388">
              <w:rPr>
                <w:color w:val="auto"/>
                <w:sz w:val="20"/>
                <w:shd w:val="clear" w:color="auto" w:fill="EEECE1"/>
              </w:rPr>
              <w:t xml:space="preserve"> post-graduate level </w:t>
            </w:r>
            <w:r>
              <w:rPr>
                <w:color w:val="auto"/>
                <w:sz w:val="20"/>
                <w:shd w:val="clear" w:color="auto" w:fill="EEECE1"/>
              </w:rPr>
              <w:t>study. P</w:t>
            </w:r>
            <w:r w:rsidRPr="00562388">
              <w:rPr>
                <w:color w:val="auto"/>
                <w:sz w:val="20"/>
                <w:shd w:val="clear" w:color="auto" w:fill="EEECE1"/>
              </w:rPr>
              <w:t>ostgraduate literacies</w:t>
            </w:r>
            <w:r>
              <w:rPr>
                <w:color w:val="auto"/>
                <w:sz w:val="20"/>
                <w:shd w:val="clear" w:color="auto" w:fill="EEECE1"/>
              </w:rPr>
              <w:t xml:space="preserve"> includes</w:t>
            </w:r>
            <w:r w:rsidRPr="00562388">
              <w:rPr>
                <w:color w:val="auto"/>
                <w:sz w:val="20"/>
                <w:shd w:val="clear" w:color="auto" w:fill="EEECE1"/>
              </w:rPr>
              <w:t xml:space="preserve"> support</w:t>
            </w:r>
            <w:r>
              <w:rPr>
                <w:color w:val="auto"/>
                <w:sz w:val="20"/>
                <w:shd w:val="clear" w:color="auto" w:fill="EEECE1"/>
              </w:rPr>
              <w:t>ing</w:t>
            </w:r>
            <w:r w:rsidRPr="00562388">
              <w:rPr>
                <w:color w:val="auto"/>
                <w:sz w:val="20"/>
                <w:shd w:val="clear" w:color="auto" w:fill="EEECE1"/>
              </w:rPr>
              <w:t xml:space="preserve"> </w:t>
            </w:r>
            <w:r>
              <w:rPr>
                <w:color w:val="auto"/>
                <w:sz w:val="20"/>
                <w:shd w:val="clear" w:color="auto" w:fill="EEECE1"/>
              </w:rPr>
              <w:t>proposal writing, research methods, statistical analysis and other domain specific skills not generally provided in p</w:t>
            </w:r>
            <w:r w:rsidRPr="00562388">
              <w:rPr>
                <w:color w:val="auto"/>
                <w:sz w:val="20"/>
                <w:shd w:val="clear" w:color="auto" w:fill="EEECE1"/>
              </w:rPr>
              <w:t xml:space="preserve">ostgraduate </w:t>
            </w:r>
            <w:r>
              <w:rPr>
                <w:color w:val="auto"/>
                <w:sz w:val="20"/>
                <w:shd w:val="clear" w:color="auto" w:fill="EEECE1"/>
              </w:rPr>
              <w:t>programmes</w:t>
            </w:r>
            <w:r w:rsidRPr="00562388">
              <w:rPr>
                <w:color w:val="auto"/>
                <w:sz w:val="20"/>
                <w:shd w:val="clear" w:color="auto" w:fill="EEECE1"/>
              </w:rPr>
              <w:t xml:space="preserve">. </w:t>
            </w:r>
            <w:r>
              <w:rPr>
                <w:color w:val="auto"/>
                <w:sz w:val="20"/>
                <w:shd w:val="clear" w:color="auto" w:fill="EEECE1"/>
              </w:rPr>
              <w:t xml:space="preserve">These include MOOCs of both global </w:t>
            </w:r>
            <w:r w:rsidRPr="00562388">
              <w:rPr>
                <w:color w:val="auto"/>
                <w:sz w:val="20"/>
                <w:shd w:val="clear" w:color="auto" w:fill="EEECE1"/>
              </w:rPr>
              <w:t>interest</w:t>
            </w:r>
            <w:r>
              <w:rPr>
                <w:color w:val="auto"/>
                <w:sz w:val="20"/>
                <w:shd w:val="clear" w:color="auto" w:fill="EEECE1"/>
              </w:rPr>
              <w:t xml:space="preserve"> and</w:t>
            </w:r>
            <w:r w:rsidRPr="00562388">
              <w:rPr>
                <w:color w:val="auto"/>
                <w:sz w:val="20"/>
                <w:shd w:val="clear" w:color="auto" w:fill="EEECE1"/>
              </w:rPr>
              <w:t xml:space="preserve"> </w:t>
            </w:r>
            <w:r>
              <w:rPr>
                <w:color w:val="auto"/>
                <w:sz w:val="20"/>
                <w:shd w:val="clear" w:color="auto" w:fill="EEECE1"/>
              </w:rPr>
              <w:t>locally focused</w:t>
            </w:r>
            <w:r w:rsidRPr="00562388">
              <w:rPr>
                <w:color w:val="auto"/>
                <w:sz w:val="20"/>
                <w:shd w:val="clear" w:color="auto" w:fill="EEECE1"/>
              </w:rPr>
              <w:t>.</w:t>
            </w:r>
          </w:p>
        </w:tc>
        <w:tc>
          <w:tcPr>
            <w:tcW w:w="2703" w:type="dxa"/>
            <w:shd w:val="clear" w:color="auto" w:fill="EEECE1"/>
            <w:tcMar>
              <w:top w:w="100" w:type="dxa"/>
              <w:left w:w="40" w:type="dxa"/>
              <w:bottom w:w="100" w:type="dxa"/>
              <w:right w:w="40" w:type="dxa"/>
            </w:tcMar>
          </w:tcPr>
          <w:p w14:paraId="0935062C" w14:textId="77777777" w:rsidR="00F3571C" w:rsidRPr="00562388" w:rsidRDefault="00F3571C" w:rsidP="00F3571C">
            <w:pPr>
              <w:pStyle w:val="Title"/>
              <w:widowControl w:val="0"/>
              <w:ind w:left="80"/>
              <w:contextualSpacing w:val="0"/>
              <w:rPr>
                <w:color w:val="auto"/>
                <w:sz w:val="20"/>
                <w:u w:val="single"/>
                <w:shd w:val="clear" w:color="auto" w:fill="EEECE1"/>
              </w:rPr>
            </w:pPr>
            <w:r w:rsidRPr="00562388">
              <w:rPr>
                <w:color w:val="auto"/>
                <w:sz w:val="20"/>
                <w:shd w:val="clear" w:color="auto" w:fill="EEECE1"/>
              </w:rPr>
              <w:t xml:space="preserve">Science </w:t>
            </w:r>
            <w:r w:rsidR="009C0FE6">
              <w:rPr>
                <w:color w:val="auto"/>
                <w:sz w:val="20"/>
                <w:shd w:val="clear" w:color="auto" w:fill="EEECE1"/>
              </w:rPr>
              <w:t>W</w:t>
            </w:r>
            <w:r w:rsidRPr="00562388">
              <w:rPr>
                <w:color w:val="auto"/>
                <w:sz w:val="20"/>
                <w:shd w:val="clear" w:color="auto" w:fill="EEECE1"/>
              </w:rPr>
              <w:t>riting</w:t>
            </w:r>
            <w:hyperlink r:id="rId12">
              <w:r w:rsidRPr="00562388">
                <w:rPr>
                  <w:color w:val="auto"/>
                  <w:sz w:val="20"/>
                  <w:shd w:val="clear" w:color="auto" w:fill="EEECE1"/>
                </w:rPr>
                <w:t xml:space="preserve"> </w:t>
              </w:r>
            </w:hyperlink>
            <w:r w:rsidRPr="006239B9">
              <w:rPr>
                <w:color w:val="auto"/>
                <w:sz w:val="20"/>
              </w:rPr>
              <w:t>[Cou</w:t>
            </w:r>
            <w:r w:rsidR="006A539D">
              <w:rPr>
                <w:color w:val="auto"/>
                <w:sz w:val="20"/>
              </w:rPr>
              <w:t>r</w:t>
            </w:r>
            <w:r w:rsidRPr="006239B9">
              <w:rPr>
                <w:color w:val="auto"/>
                <w:sz w:val="20"/>
              </w:rPr>
              <w:t>sera]</w:t>
            </w:r>
          </w:p>
          <w:p w14:paraId="523A6C46" w14:textId="77777777" w:rsidR="00F3571C" w:rsidRPr="00562388" w:rsidRDefault="00F3571C" w:rsidP="00F3571C">
            <w:pPr>
              <w:rPr>
                <w:color w:val="auto"/>
              </w:rPr>
            </w:pPr>
          </w:p>
          <w:p w14:paraId="26588C4D" w14:textId="77777777" w:rsidR="00F3571C" w:rsidRPr="00562388" w:rsidRDefault="00F3571C" w:rsidP="00F3571C">
            <w:pPr>
              <w:pStyle w:val="Title"/>
              <w:widowControl w:val="0"/>
              <w:ind w:left="80"/>
              <w:contextualSpacing w:val="0"/>
              <w:rPr>
                <w:color w:val="auto"/>
              </w:rPr>
            </w:pPr>
            <w:r w:rsidRPr="00562388">
              <w:rPr>
                <w:color w:val="auto"/>
                <w:sz w:val="20"/>
                <w:shd w:val="clear" w:color="auto" w:fill="EEECE1"/>
              </w:rPr>
              <w:t>Research Methods</w:t>
            </w:r>
            <w:r>
              <w:rPr>
                <w:color w:val="auto"/>
                <w:sz w:val="20"/>
                <w:shd w:val="clear" w:color="auto" w:fill="EEECE1"/>
              </w:rPr>
              <w:t xml:space="preserve"> </w:t>
            </w:r>
            <w:r w:rsidRPr="006239B9">
              <w:rPr>
                <w:color w:val="auto"/>
                <w:sz w:val="20"/>
              </w:rPr>
              <w:t>[Cou</w:t>
            </w:r>
            <w:r w:rsidR="006A539D">
              <w:rPr>
                <w:color w:val="auto"/>
                <w:sz w:val="20"/>
              </w:rPr>
              <w:t>r</w:t>
            </w:r>
            <w:r w:rsidRPr="006239B9">
              <w:rPr>
                <w:color w:val="auto"/>
                <w:sz w:val="20"/>
              </w:rPr>
              <w:t>sera]</w:t>
            </w:r>
          </w:p>
        </w:tc>
      </w:tr>
      <w:tr w:rsidR="00F3571C" w:rsidRPr="00562388" w14:paraId="6047B90D" w14:textId="77777777" w:rsidTr="00F3571C">
        <w:tc>
          <w:tcPr>
            <w:tcW w:w="2616" w:type="dxa"/>
            <w:tcMar>
              <w:top w:w="100" w:type="dxa"/>
              <w:left w:w="40" w:type="dxa"/>
              <w:bottom w:w="100" w:type="dxa"/>
              <w:right w:w="40" w:type="dxa"/>
            </w:tcMar>
          </w:tcPr>
          <w:p w14:paraId="0000A739" w14:textId="77777777" w:rsidR="00F3571C" w:rsidRPr="00562388" w:rsidRDefault="00F3571C" w:rsidP="00F3571C">
            <w:pPr>
              <w:pStyle w:val="Title"/>
              <w:widowControl w:val="0"/>
              <w:ind w:left="80"/>
              <w:contextualSpacing w:val="0"/>
              <w:rPr>
                <w:color w:val="auto"/>
              </w:rPr>
            </w:pPr>
            <w:r w:rsidRPr="00562388">
              <w:rPr>
                <w:b/>
                <w:color w:val="auto"/>
                <w:sz w:val="20"/>
              </w:rPr>
              <w:t xml:space="preserve">Category Four: Professional </w:t>
            </w:r>
            <w:r w:rsidRPr="00562388">
              <w:rPr>
                <w:b/>
                <w:color w:val="auto"/>
                <w:sz w:val="20"/>
                <w:shd w:val="clear" w:color="auto" w:fill="EEECE1"/>
              </w:rPr>
              <w:t>Showcase</w:t>
            </w:r>
          </w:p>
        </w:tc>
        <w:tc>
          <w:tcPr>
            <w:tcW w:w="4472" w:type="dxa"/>
            <w:tcMar>
              <w:top w:w="100" w:type="dxa"/>
              <w:left w:w="40" w:type="dxa"/>
              <w:bottom w:w="100" w:type="dxa"/>
              <w:right w:w="40" w:type="dxa"/>
            </w:tcMar>
          </w:tcPr>
          <w:p w14:paraId="341BE117" w14:textId="77777777" w:rsidR="00F3571C" w:rsidRPr="00562388" w:rsidRDefault="00F3571C" w:rsidP="00F3571C">
            <w:pPr>
              <w:pStyle w:val="Title"/>
              <w:widowControl w:val="0"/>
              <w:ind w:left="80"/>
              <w:contextualSpacing w:val="0"/>
              <w:rPr>
                <w:color w:val="auto"/>
              </w:rPr>
            </w:pPr>
            <w:r w:rsidRPr="00562388">
              <w:rPr>
                <w:color w:val="auto"/>
                <w:sz w:val="20"/>
              </w:rPr>
              <w:t>These courses are geared towards vocational skills development, re-tooling and professional development; they could be offered in conjunction with other organisations or professional bodies. Likely to be of local interest, although some specialised topics may be globally relevant.</w:t>
            </w:r>
          </w:p>
        </w:tc>
        <w:tc>
          <w:tcPr>
            <w:tcW w:w="2703" w:type="dxa"/>
            <w:tcMar>
              <w:top w:w="100" w:type="dxa"/>
              <w:left w:w="40" w:type="dxa"/>
              <w:bottom w:w="100" w:type="dxa"/>
              <w:right w:w="40" w:type="dxa"/>
            </w:tcMar>
          </w:tcPr>
          <w:p w14:paraId="2C970FB7" w14:textId="77777777" w:rsidR="00F3571C" w:rsidRPr="00562388" w:rsidRDefault="00F3571C" w:rsidP="00F3571C">
            <w:pPr>
              <w:pStyle w:val="Title"/>
              <w:widowControl w:val="0"/>
              <w:ind w:left="80"/>
              <w:contextualSpacing w:val="0"/>
              <w:rPr>
                <w:color w:val="auto"/>
              </w:rPr>
            </w:pPr>
            <w:r w:rsidRPr="00562388">
              <w:rPr>
                <w:color w:val="auto"/>
                <w:sz w:val="20"/>
              </w:rPr>
              <w:t>Reservoir GeoMechanics</w:t>
            </w:r>
          </w:p>
          <w:p w14:paraId="3A42B75F" w14:textId="5BF654B8" w:rsidR="00F3571C" w:rsidRPr="00562388" w:rsidRDefault="006A539D" w:rsidP="00F3571C">
            <w:pPr>
              <w:pStyle w:val="Title"/>
              <w:widowControl w:val="0"/>
              <w:ind w:left="80"/>
              <w:contextualSpacing w:val="0"/>
              <w:rPr>
                <w:color w:val="auto"/>
                <w:sz w:val="20"/>
                <w:u w:val="single"/>
              </w:rPr>
            </w:pPr>
            <w:r>
              <w:rPr>
                <w:color w:val="auto"/>
                <w:sz w:val="20"/>
                <w:u w:val="single"/>
              </w:rPr>
              <w:t>(</w:t>
            </w:r>
            <w:r w:rsidR="009E2C20">
              <w:rPr>
                <w:color w:val="auto"/>
                <w:sz w:val="20"/>
                <w:u w:val="single"/>
              </w:rPr>
              <w:t>Stanford OpenedX]</w:t>
            </w:r>
          </w:p>
          <w:p w14:paraId="2C8193D3" w14:textId="77777777" w:rsidR="00F3571C" w:rsidRPr="00562388" w:rsidRDefault="00F3571C" w:rsidP="00F3571C">
            <w:pPr>
              <w:rPr>
                <w:color w:val="auto"/>
              </w:rPr>
            </w:pPr>
          </w:p>
          <w:p w14:paraId="0210D71A" w14:textId="77777777" w:rsidR="00F3571C" w:rsidRPr="00562388" w:rsidRDefault="00F3571C" w:rsidP="00F3571C">
            <w:pPr>
              <w:pStyle w:val="Title"/>
              <w:widowControl w:val="0"/>
              <w:ind w:left="80"/>
              <w:contextualSpacing w:val="0"/>
              <w:rPr>
                <w:color w:val="auto"/>
              </w:rPr>
            </w:pPr>
            <w:r w:rsidRPr="00562388">
              <w:rPr>
                <w:color w:val="auto"/>
                <w:sz w:val="20"/>
              </w:rPr>
              <w:t xml:space="preserve">Medicine </w:t>
            </w:r>
            <w:r w:rsidR="009C0FE6">
              <w:rPr>
                <w:color w:val="auto"/>
                <w:sz w:val="20"/>
              </w:rPr>
              <w:t>A</w:t>
            </w:r>
            <w:r w:rsidRPr="00562388">
              <w:rPr>
                <w:color w:val="auto"/>
                <w:sz w:val="20"/>
              </w:rPr>
              <w:t>dherence</w:t>
            </w:r>
          </w:p>
          <w:p w14:paraId="5B18C4EE" w14:textId="77777777" w:rsidR="00F3571C" w:rsidRPr="00562388" w:rsidRDefault="00F3571C" w:rsidP="00F3571C">
            <w:pPr>
              <w:pStyle w:val="Title"/>
              <w:widowControl w:val="0"/>
              <w:ind w:left="80"/>
              <w:contextualSpacing w:val="0"/>
              <w:rPr>
                <w:color w:val="auto"/>
              </w:rPr>
            </w:pPr>
            <w:r w:rsidRPr="006239B9">
              <w:rPr>
                <w:color w:val="auto"/>
                <w:sz w:val="20"/>
              </w:rPr>
              <w:t>[FutureLearn]</w:t>
            </w:r>
          </w:p>
        </w:tc>
      </w:tr>
      <w:tr w:rsidR="00F3571C" w:rsidRPr="00562388" w14:paraId="435103A3" w14:textId="77777777" w:rsidTr="00F3571C">
        <w:tc>
          <w:tcPr>
            <w:tcW w:w="2616" w:type="dxa"/>
            <w:shd w:val="clear" w:color="auto" w:fill="EEECE1"/>
            <w:tcMar>
              <w:top w:w="100" w:type="dxa"/>
              <w:left w:w="40" w:type="dxa"/>
              <w:bottom w:w="100" w:type="dxa"/>
              <w:right w:w="40" w:type="dxa"/>
            </w:tcMar>
          </w:tcPr>
          <w:p w14:paraId="3A93095B" w14:textId="77777777" w:rsidR="00F3571C" w:rsidRDefault="00F3571C" w:rsidP="00F3571C">
            <w:pPr>
              <w:pStyle w:val="Title"/>
              <w:widowControl w:val="0"/>
              <w:ind w:left="80"/>
              <w:contextualSpacing w:val="0"/>
              <w:rPr>
                <w:color w:val="auto"/>
              </w:rPr>
            </w:pPr>
            <w:r w:rsidRPr="00562388">
              <w:rPr>
                <w:b/>
                <w:color w:val="auto"/>
                <w:sz w:val="20"/>
                <w:shd w:val="clear" w:color="auto" w:fill="EEECE1"/>
              </w:rPr>
              <w:t xml:space="preserve">Category Five: </w:t>
            </w:r>
            <w:r>
              <w:rPr>
                <w:b/>
                <w:color w:val="auto"/>
                <w:sz w:val="20"/>
                <w:shd w:val="clear" w:color="auto" w:fill="EEECE1"/>
              </w:rPr>
              <w:t xml:space="preserve">Research </w:t>
            </w:r>
            <w:r w:rsidRPr="00562388">
              <w:rPr>
                <w:b/>
                <w:color w:val="auto"/>
                <w:sz w:val="20"/>
                <w:shd w:val="clear" w:color="auto" w:fill="EEECE1"/>
              </w:rPr>
              <w:t xml:space="preserve">Showcase </w:t>
            </w:r>
          </w:p>
        </w:tc>
        <w:tc>
          <w:tcPr>
            <w:tcW w:w="4472" w:type="dxa"/>
            <w:shd w:val="clear" w:color="auto" w:fill="EEECE1"/>
            <w:tcMar>
              <w:top w:w="100" w:type="dxa"/>
              <w:left w:w="40" w:type="dxa"/>
              <w:bottom w:w="100" w:type="dxa"/>
              <w:right w:w="40" w:type="dxa"/>
            </w:tcMar>
          </w:tcPr>
          <w:p w14:paraId="35DAB589" w14:textId="77777777" w:rsidR="00F3571C" w:rsidRPr="00562388" w:rsidRDefault="00F3571C" w:rsidP="00F3571C">
            <w:pPr>
              <w:pStyle w:val="Title"/>
              <w:widowControl w:val="0"/>
              <w:ind w:left="80"/>
              <w:contextualSpacing w:val="0"/>
              <w:rPr>
                <w:color w:val="auto"/>
              </w:rPr>
            </w:pPr>
            <w:r w:rsidRPr="00562388">
              <w:rPr>
                <w:color w:val="auto"/>
                <w:sz w:val="20"/>
                <w:shd w:val="clear" w:color="auto" w:fill="EEECE1"/>
              </w:rPr>
              <w:t>These are more specialised and targeted than category one courses as they assumes some existing background in the topic, but are still geared towards general or leisure learning. Likely to have global appeal.</w:t>
            </w:r>
          </w:p>
        </w:tc>
        <w:tc>
          <w:tcPr>
            <w:tcW w:w="2703" w:type="dxa"/>
            <w:shd w:val="clear" w:color="auto" w:fill="EEECE1"/>
            <w:tcMar>
              <w:top w:w="100" w:type="dxa"/>
              <w:left w:w="40" w:type="dxa"/>
              <w:bottom w:w="100" w:type="dxa"/>
              <w:right w:w="40" w:type="dxa"/>
            </w:tcMar>
          </w:tcPr>
          <w:p w14:paraId="22731B91" w14:textId="77777777" w:rsidR="00F3571C" w:rsidRPr="00562388" w:rsidRDefault="00F3571C" w:rsidP="00F3571C">
            <w:pPr>
              <w:pStyle w:val="Title"/>
              <w:widowControl w:val="0"/>
              <w:ind w:left="40"/>
              <w:contextualSpacing w:val="0"/>
              <w:rPr>
                <w:color w:val="auto"/>
              </w:rPr>
            </w:pPr>
            <w:r w:rsidRPr="00562388">
              <w:rPr>
                <w:color w:val="auto"/>
                <w:sz w:val="20"/>
                <w:shd w:val="clear" w:color="auto" w:fill="EEECE1"/>
              </w:rPr>
              <w:t xml:space="preserve">Global </w:t>
            </w:r>
            <w:r w:rsidR="009C0FE6">
              <w:rPr>
                <w:color w:val="auto"/>
                <w:sz w:val="20"/>
                <w:shd w:val="clear" w:color="auto" w:fill="EEECE1"/>
              </w:rPr>
              <w:t>W</w:t>
            </w:r>
            <w:r w:rsidRPr="00562388">
              <w:rPr>
                <w:color w:val="auto"/>
                <w:sz w:val="20"/>
                <w:shd w:val="clear" w:color="auto" w:fill="EEECE1"/>
              </w:rPr>
              <w:t xml:space="preserve">arming </w:t>
            </w:r>
            <w:r w:rsidR="009C0FE6">
              <w:rPr>
                <w:color w:val="auto"/>
                <w:sz w:val="20"/>
                <w:shd w:val="clear" w:color="auto" w:fill="EEECE1"/>
              </w:rPr>
              <w:t>S</w:t>
            </w:r>
            <w:r w:rsidRPr="00562388">
              <w:rPr>
                <w:color w:val="auto"/>
                <w:sz w:val="20"/>
                <w:shd w:val="clear" w:color="auto" w:fill="EEECE1"/>
              </w:rPr>
              <w:t>cience</w:t>
            </w:r>
          </w:p>
          <w:p w14:paraId="34F55880" w14:textId="77777777" w:rsidR="00F3571C" w:rsidRDefault="00F3571C" w:rsidP="009E2C20">
            <w:pPr>
              <w:pStyle w:val="Title"/>
              <w:widowControl w:val="0"/>
              <w:ind w:left="40"/>
              <w:contextualSpacing w:val="0"/>
              <w:rPr>
                <w:color w:val="auto"/>
              </w:rPr>
            </w:pPr>
            <w:r w:rsidRPr="00D50341">
              <w:rPr>
                <w:color w:val="auto"/>
                <w:sz w:val="20"/>
                <w:shd w:val="clear" w:color="auto" w:fill="EEECE1"/>
              </w:rPr>
              <w:t>[edX]</w:t>
            </w:r>
            <w:r w:rsidR="009E2C20" w:rsidRPr="00F726E5" w:rsidDel="009E2C20">
              <w:t xml:space="preserve"> </w:t>
            </w:r>
          </w:p>
        </w:tc>
      </w:tr>
    </w:tbl>
    <w:p w14:paraId="16055597" w14:textId="77777777" w:rsidR="00F3571C" w:rsidRPr="00E5481D" w:rsidRDefault="00F3571C" w:rsidP="00F3571C">
      <w:pPr>
        <w:pStyle w:val="Title"/>
        <w:widowControl w:val="0"/>
        <w:contextualSpacing w:val="0"/>
        <w:rPr>
          <w:rFonts w:ascii="Arial Narrow" w:hAnsi="Arial Narrow"/>
          <w:color w:val="auto"/>
          <w:sz w:val="24"/>
          <w:szCs w:val="24"/>
        </w:rPr>
      </w:pPr>
      <w:r w:rsidRPr="00562388">
        <w:rPr>
          <w:color w:val="auto"/>
        </w:rPr>
        <w:t xml:space="preserve"> </w:t>
      </w:r>
      <w:r w:rsidRPr="00E5481D">
        <w:rPr>
          <w:rFonts w:ascii="Arial Narrow" w:hAnsi="Arial Narrow"/>
          <w:color w:val="auto"/>
          <w:sz w:val="24"/>
          <w:szCs w:val="24"/>
        </w:rPr>
        <w:t xml:space="preserve">Table 1: MOOC </w:t>
      </w:r>
      <w:r>
        <w:rPr>
          <w:rFonts w:ascii="Arial Narrow" w:hAnsi="Arial Narrow"/>
          <w:color w:val="auto"/>
          <w:sz w:val="24"/>
          <w:szCs w:val="24"/>
        </w:rPr>
        <w:t>categories</w:t>
      </w:r>
    </w:p>
    <w:p w14:paraId="65B13F5F" w14:textId="77777777" w:rsidR="00F3571C" w:rsidRPr="00562388" w:rsidRDefault="00F3571C" w:rsidP="00F3571C">
      <w:pPr>
        <w:widowControl w:val="0"/>
        <w:rPr>
          <w:color w:val="auto"/>
        </w:rPr>
      </w:pPr>
      <w:r w:rsidRPr="00562388">
        <w:rPr>
          <w:color w:val="auto"/>
        </w:rPr>
        <w:t xml:space="preserve"> </w:t>
      </w:r>
    </w:p>
    <w:p w14:paraId="5BD8FE38" w14:textId="77777777" w:rsidR="00F3571C" w:rsidRPr="00562388" w:rsidRDefault="00F3571C" w:rsidP="00F3571C">
      <w:pPr>
        <w:pStyle w:val="Heading2"/>
        <w:widowControl w:val="0"/>
        <w:spacing w:before="360" w:after="80"/>
        <w:contextualSpacing w:val="0"/>
        <w:rPr>
          <w:rFonts w:ascii="Century Gothic" w:hAnsi="Century Gothic"/>
          <w:color w:val="auto"/>
          <w:sz w:val="24"/>
          <w:szCs w:val="24"/>
        </w:rPr>
      </w:pPr>
      <w:r w:rsidRPr="00562388">
        <w:rPr>
          <w:rFonts w:ascii="Century Gothic" w:hAnsi="Century Gothic"/>
          <w:color w:val="auto"/>
          <w:sz w:val="24"/>
          <w:szCs w:val="24"/>
        </w:rPr>
        <w:t xml:space="preserve">Category one - </w:t>
      </w:r>
      <w:r>
        <w:rPr>
          <w:rFonts w:ascii="Century Gothic" w:hAnsi="Century Gothic"/>
          <w:color w:val="auto"/>
          <w:sz w:val="24"/>
          <w:szCs w:val="24"/>
        </w:rPr>
        <w:t>teaching</w:t>
      </w:r>
      <w:r w:rsidRPr="00562388">
        <w:rPr>
          <w:rFonts w:ascii="Century Gothic" w:hAnsi="Century Gothic"/>
          <w:color w:val="auto"/>
          <w:sz w:val="24"/>
          <w:szCs w:val="24"/>
        </w:rPr>
        <w:t xml:space="preserve"> showcase</w:t>
      </w:r>
    </w:p>
    <w:p w14:paraId="2E9D9AF6" w14:textId="6755735A" w:rsidR="00F3571C" w:rsidRPr="00562388" w:rsidRDefault="00F3571C" w:rsidP="00F3571C">
      <w:pPr>
        <w:pStyle w:val="NoSpacing"/>
        <w:rPr>
          <w:color w:val="auto"/>
        </w:rPr>
      </w:pPr>
      <w:r w:rsidRPr="00562388">
        <w:rPr>
          <w:color w:val="auto"/>
        </w:rPr>
        <w:t xml:space="preserve">The category </w:t>
      </w:r>
      <w:r w:rsidR="007717F2">
        <w:rPr>
          <w:color w:val="auto"/>
        </w:rPr>
        <w:t>one</w:t>
      </w:r>
      <w:r w:rsidRPr="00562388">
        <w:rPr>
          <w:color w:val="auto"/>
        </w:rPr>
        <w:t xml:space="preserve"> ‘</w:t>
      </w:r>
      <w:r>
        <w:rPr>
          <w:color w:val="auto"/>
        </w:rPr>
        <w:t xml:space="preserve">teaching </w:t>
      </w:r>
      <w:r w:rsidRPr="00562388">
        <w:rPr>
          <w:color w:val="auto"/>
        </w:rPr>
        <w:t>showcase’</w:t>
      </w:r>
      <w:r>
        <w:rPr>
          <w:color w:val="auto"/>
        </w:rPr>
        <w:t xml:space="preserve"> MOOCs typically </w:t>
      </w:r>
      <w:r w:rsidR="00DE3B23">
        <w:rPr>
          <w:color w:val="auto"/>
        </w:rPr>
        <w:t>offer courses on</w:t>
      </w:r>
      <w:r>
        <w:rPr>
          <w:color w:val="auto"/>
        </w:rPr>
        <w:t xml:space="preserve"> stimulating and accessible topics which</w:t>
      </w:r>
      <w:r w:rsidRPr="00942287">
        <w:rPr>
          <w:color w:val="auto"/>
        </w:rPr>
        <w:t xml:space="preserve"> </w:t>
      </w:r>
      <w:r w:rsidRPr="00562388">
        <w:rPr>
          <w:color w:val="auto"/>
        </w:rPr>
        <w:t xml:space="preserve">rely on the popular appeal of </w:t>
      </w:r>
      <w:r>
        <w:rPr>
          <w:color w:val="auto"/>
        </w:rPr>
        <w:t xml:space="preserve">the </w:t>
      </w:r>
      <w:r w:rsidRPr="00562388">
        <w:rPr>
          <w:color w:val="auto"/>
        </w:rPr>
        <w:t xml:space="preserve">individual academic </w:t>
      </w:r>
      <w:r>
        <w:rPr>
          <w:color w:val="auto"/>
        </w:rPr>
        <w:t>presenter</w:t>
      </w:r>
      <w:r w:rsidRPr="00562388">
        <w:rPr>
          <w:color w:val="auto"/>
        </w:rPr>
        <w:t>.</w:t>
      </w:r>
      <w:r>
        <w:rPr>
          <w:color w:val="auto"/>
        </w:rPr>
        <w:t xml:space="preserve"> These include</w:t>
      </w:r>
      <w:r w:rsidRPr="00562388">
        <w:rPr>
          <w:color w:val="auto"/>
        </w:rPr>
        <w:t xml:space="preserve"> the</w:t>
      </w:r>
      <w:r>
        <w:rPr>
          <w:color w:val="auto"/>
        </w:rPr>
        <w:t xml:space="preserve"> very large and</w:t>
      </w:r>
      <w:r w:rsidRPr="00562388">
        <w:rPr>
          <w:color w:val="auto"/>
        </w:rPr>
        <w:t xml:space="preserve"> high-profile MOOCs discussed in the popular media and offered on platforms like Coursera. </w:t>
      </w:r>
      <w:r w:rsidR="009C0FE6">
        <w:rPr>
          <w:color w:val="auto"/>
        </w:rPr>
        <w:t>Category one courses</w:t>
      </w:r>
      <w:r w:rsidR="009C0FE6" w:rsidRPr="00562388">
        <w:rPr>
          <w:color w:val="auto"/>
        </w:rPr>
        <w:t xml:space="preserve"> </w:t>
      </w:r>
      <w:r w:rsidRPr="00562388">
        <w:rPr>
          <w:color w:val="auto"/>
        </w:rPr>
        <w:t xml:space="preserve">are sometimes referred to as ‘rock star’ MOOCs </w:t>
      </w:r>
      <w:r>
        <w:rPr>
          <w:color w:val="auto"/>
        </w:rPr>
        <w:t>since the</w:t>
      </w:r>
      <w:r w:rsidRPr="00562388">
        <w:rPr>
          <w:color w:val="auto"/>
        </w:rPr>
        <w:t xml:space="preserve"> presenters have</w:t>
      </w:r>
      <w:r>
        <w:rPr>
          <w:color w:val="auto"/>
        </w:rPr>
        <w:t xml:space="preserve"> in some </w:t>
      </w:r>
      <w:r w:rsidR="009C0FE6">
        <w:rPr>
          <w:color w:val="auto"/>
        </w:rPr>
        <w:t xml:space="preserve">cases </w:t>
      </w:r>
      <w:r w:rsidRPr="00562388">
        <w:rPr>
          <w:color w:val="auto"/>
        </w:rPr>
        <w:t xml:space="preserve">developed cult-followings. They appeal to a general audience </w:t>
      </w:r>
      <w:r>
        <w:rPr>
          <w:color w:val="auto"/>
        </w:rPr>
        <w:t xml:space="preserve">on topics </w:t>
      </w:r>
      <w:r w:rsidRPr="00562388">
        <w:rPr>
          <w:color w:val="auto"/>
        </w:rPr>
        <w:t>with the maximum exposure</w:t>
      </w:r>
      <w:r>
        <w:rPr>
          <w:color w:val="auto"/>
        </w:rPr>
        <w:t xml:space="preserve"> as might form a part of an introductory university course</w:t>
      </w:r>
      <w:r w:rsidRPr="00562388">
        <w:rPr>
          <w:color w:val="auto"/>
        </w:rPr>
        <w:t>.</w:t>
      </w:r>
      <w:r w:rsidR="00300E7D">
        <w:rPr>
          <w:color w:val="auto"/>
        </w:rPr>
        <w:t xml:space="preserve"> </w:t>
      </w:r>
      <w:r>
        <w:rPr>
          <w:color w:val="auto"/>
        </w:rPr>
        <w:t xml:space="preserve">An example is </w:t>
      </w:r>
      <w:r w:rsidRPr="00562388">
        <w:rPr>
          <w:color w:val="auto"/>
        </w:rPr>
        <w:t xml:space="preserve">Coursera’s largest </w:t>
      </w:r>
      <w:r>
        <w:rPr>
          <w:color w:val="auto"/>
        </w:rPr>
        <w:t>course</w:t>
      </w:r>
      <w:r w:rsidRPr="00CE67BC">
        <w:rPr>
          <w:color w:val="auto"/>
        </w:rPr>
        <w:t xml:space="preserve"> </w:t>
      </w:r>
      <w:r w:rsidR="006A539D">
        <w:rPr>
          <w:color w:val="auto"/>
        </w:rPr>
        <w:t xml:space="preserve">to date </w:t>
      </w:r>
      <w:r w:rsidRPr="00562388">
        <w:rPr>
          <w:color w:val="auto"/>
        </w:rPr>
        <w:t>presented by Scott Plous of Wesleyan University</w:t>
      </w:r>
      <w:r>
        <w:rPr>
          <w:color w:val="auto"/>
        </w:rPr>
        <w:t>,</w:t>
      </w:r>
      <w:r w:rsidRPr="00562388">
        <w:rPr>
          <w:color w:val="auto"/>
        </w:rPr>
        <w:t xml:space="preserve"> </w:t>
      </w:r>
      <w:r>
        <w:rPr>
          <w:color w:val="auto"/>
        </w:rPr>
        <w:t xml:space="preserve">with </w:t>
      </w:r>
      <w:r w:rsidRPr="00562388">
        <w:rPr>
          <w:color w:val="auto"/>
        </w:rPr>
        <w:t xml:space="preserve">259,969 </w:t>
      </w:r>
      <w:r>
        <w:rPr>
          <w:color w:val="auto"/>
        </w:rPr>
        <w:t>participants</w:t>
      </w:r>
      <w:r w:rsidRPr="00562388">
        <w:rPr>
          <w:color w:val="auto"/>
        </w:rPr>
        <w:t xml:space="preserve"> studying social psychology (Daphne Koller, 2014). </w:t>
      </w:r>
      <w:r w:rsidR="00300E7D">
        <w:rPr>
          <w:color w:val="auto"/>
        </w:rPr>
        <w:t xml:space="preserve">Other illustrative examples include </w:t>
      </w:r>
      <w:r w:rsidR="00300E7D" w:rsidRPr="00562388">
        <w:rPr>
          <w:color w:val="auto"/>
        </w:rPr>
        <w:t>the University of Pennsylvania's</w:t>
      </w:r>
      <w:r w:rsidR="002F514E">
        <w:fldChar w:fldCharType="begin"/>
      </w:r>
      <w:r w:rsidR="002F514E">
        <w:instrText xml:space="preserve"> HYPERLINK "https://www.coursera.org/course/modernpoetry" \h </w:instrText>
      </w:r>
      <w:r w:rsidR="002F514E">
        <w:fldChar w:fldCharType="separate"/>
      </w:r>
      <w:r w:rsidR="00300E7D" w:rsidRPr="00562388">
        <w:rPr>
          <w:color w:val="auto"/>
          <w:u w:val="single"/>
        </w:rPr>
        <w:t xml:space="preserve"> Modern &amp; Contemporary American poetry</w:t>
      </w:r>
      <w:r w:rsidR="002F514E">
        <w:rPr>
          <w:color w:val="auto"/>
          <w:u w:val="single"/>
        </w:rPr>
        <w:fldChar w:fldCharType="end"/>
      </w:r>
      <w:r w:rsidR="00300E7D" w:rsidRPr="00562388">
        <w:rPr>
          <w:color w:val="auto"/>
        </w:rPr>
        <w:t>; University of Edinburgh’s</w:t>
      </w:r>
      <w:r w:rsidR="002F514E">
        <w:fldChar w:fldCharType="begin"/>
      </w:r>
      <w:r w:rsidR="002F514E">
        <w:instrText xml:space="preserve"> HYPERLINK "https://www.futurelearn.com/courses/higgs" \h </w:instrText>
      </w:r>
      <w:r w:rsidR="002F514E">
        <w:fldChar w:fldCharType="separate"/>
      </w:r>
      <w:r w:rsidR="00300E7D" w:rsidRPr="00562388">
        <w:rPr>
          <w:color w:val="auto"/>
          <w:u w:val="single"/>
        </w:rPr>
        <w:t xml:space="preserve"> The discovery of the Higgs-Boson</w:t>
      </w:r>
      <w:r w:rsidR="002F514E">
        <w:rPr>
          <w:color w:val="auto"/>
          <w:u w:val="single"/>
        </w:rPr>
        <w:fldChar w:fldCharType="end"/>
      </w:r>
      <w:r w:rsidR="00300E7D" w:rsidRPr="00562388">
        <w:rPr>
          <w:color w:val="auto"/>
        </w:rPr>
        <w:t xml:space="preserve"> and Duke University’s</w:t>
      </w:r>
      <w:r w:rsidR="002F514E">
        <w:fldChar w:fldCharType="begin"/>
      </w:r>
      <w:r w:rsidR="002F514E">
        <w:instrText xml:space="preserve"> HYPERLINK "https://www.coursera.org/course/introastro" \h </w:instrText>
      </w:r>
      <w:r w:rsidR="002F514E">
        <w:fldChar w:fldCharType="separate"/>
      </w:r>
      <w:r w:rsidR="00300E7D" w:rsidRPr="00562388">
        <w:rPr>
          <w:color w:val="auto"/>
          <w:u w:val="single"/>
        </w:rPr>
        <w:t xml:space="preserve"> Introduction to Astronomy</w:t>
      </w:r>
      <w:r w:rsidR="002F514E">
        <w:rPr>
          <w:color w:val="auto"/>
          <w:u w:val="single"/>
        </w:rPr>
        <w:fldChar w:fldCharType="end"/>
      </w:r>
      <w:r w:rsidR="00300E7D">
        <w:rPr>
          <w:color w:val="auto"/>
          <w:u w:val="single"/>
        </w:rPr>
        <w:t xml:space="preserve">. </w:t>
      </w:r>
    </w:p>
    <w:p w14:paraId="6F4EA96E" w14:textId="77777777" w:rsidR="00F3571C" w:rsidRPr="00562388" w:rsidRDefault="00F3571C" w:rsidP="00F3571C">
      <w:pPr>
        <w:pStyle w:val="NoSpacing"/>
        <w:rPr>
          <w:color w:val="auto"/>
        </w:rPr>
      </w:pPr>
      <w:r w:rsidRPr="00562388">
        <w:rPr>
          <w:color w:val="auto"/>
        </w:rPr>
        <w:t xml:space="preserve"> </w:t>
      </w:r>
    </w:p>
    <w:p w14:paraId="37C6C78A" w14:textId="34FF5380" w:rsidR="00300E7D" w:rsidRPr="00562388" w:rsidRDefault="00F3571C" w:rsidP="00F3571C">
      <w:pPr>
        <w:pStyle w:val="NoSpacing"/>
        <w:rPr>
          <w:color w:val="auto"/>
        </w:rPr>
      </w:pPr>
      <w:r w:rsidRPr="00562388">
        <w:rPr>
          <w:color w:val="auto"/>
        </w:rPr>
        <w:t xml:space="preserve">Universities </w:t>
      </w:r>
      <w:r>
        <w:rPr>
          <w:color w:val="auto"/>
        </w:rPr>
        <w:t>are seeking</w:t>
      </w:r>
      <w:r w:rsidRPr="00562388">
        <w:rPr>
          <w:color w:val="auto"/>
        </w:rPr>
        <w:t xml:space="preserve"> opportunities to gain g</w:t>
      </w:r>
      <w:r>
        <w:rPr>
          <w:color w:val="auto"/>
        </w:rPr>
        <w:t>reater</w:t>
      </w:r>
      <w:r w:rsidRPr="00562388">
        <w:rPr>
          <w:color w:val="auto"/>
        </w:rPr>
        <w:t xml:space="preserve"> exposure</w:t>
      </w:r>
      <w:r>
        <w:rPr>
          <w:color w:val="auto"/>
        </w:rPr>
        <w:t xml:space="preserve"> through sharing their</w:t>
      </w:r>
      <w:r w:rsidRPr="00562388">
        <w:rPr>
          <w:color w:val="auto"/>
        </w:rPr>
        <w:t xml:space="preserve"> locally generated knowledge.</w:t>
      </w:r>
      <w:r>
        <w:rPr>
          <w:color w:val="auto"/>
        </w:rPr>
        <w:t xml:space="preserve"> These help form criteria for identifying MOOC topics, although not defining the category</w:t>
      </w:r>
      <w:r w:rsidR="00104C3E">
        <w:rPr>
          <w:color w:val="auto"/>
        </w:rPr>
        <w:t>.</w:t>
      </w:r>
      <w:r w:rsidRPr="00562388">
        <w:rPr>
          <w:color w:val="auto"/>
        </w:rPr>
        <w:t xml:space="preserve"> </w:t>
      </w:r>
      <w:r>
        <w:rPr>
          <w:color w:val="auto"/>
        </w:rPr>
        <w:t xml:space="preserve">In our </w:t>
      </w:r>
      <w:r w:rsidR="00104C3E">
        <w:rPr>
          <w:color w:val="auto"/>
        </w:rPr>
        <w:t xml:space="preserve">South </w:t>
      </w:r>
      <w:r>
        <w:rPr>
          <w:color w:val="auto"/>
        </w:rPr>
        <w:t xml:space="preserve">African context, </w:t>
      </w:r>
      <w:r w:rsidRPr="00562388">
        <w:rPr>
          <w:color w:val="auto"/>
        </w:rPr>
        <w:t xml:space="preserve">topics such </w:t>
      </w:r>
      <w:r w:rsidR="00370871">
        <w:rPr>
          <w:color w:val="auto"/>
        </w:rPr>
        <w:t>Nelson Mandela’s life, biodiversity</w:t>
      </w:r>
      <w:r w:rsidR="00A35D04">
        <w:rPr>
          <w:color w:val="auto"/>
        </w:rPr>
        <w:t>, apartheid and colonial history</w:t>
      </w:r>
      <w:r w:rsidR="00370871">
        <w:rPr>
          <w:color w:val="auto"/>
        </w:rPr>
        <w:t xml:space="preserve"> </w:t>
      </w:r>
      <w:r w:rsidR="00A35D04">
        <w:rPr>
          <w:color w:val="auto"/>
        </w:rPr>
        <w:t>or</w:t>
      </w:r>
      <w:r w:rsidR="00370871">
        <w:rPr>
          <w:color w:val="auto"/>
        </w:rPr>
        <w:t xml:space="preserve"> radio astronomy </w:t>
      </w:r>
      <w:r>
        <w:rPr>
          <w:color w:val="auto"/>
        </w:rPr>
        <w:t>are example</w:t>
      </w:r>
      <w:r w:rsidR="00104C3E">
        <w:rPr>
          <w:color w:val="auto"/>
        </w:rPr>
        <w:t xml:space="preserve"> topics for Category one MOOCs</w:t>
      </w:r>
      <w:r>
        <w:rPr>
          <w:color w:val="auto"/>
        </w:rPr>
        <w:t xml:space="preserve"> that include</w:t>
      </w:r>
      <w:r w:rsidRPr="00562388">
        <w:rPr>
          <w:color w:val="auto"/>
        </w:rPr>
        <w:t xml:space="preserve"> local knowledge </w:t>
      </w:r>
      <w:r>
        <w:rPr>
          <w:color w:val="auto"/>
        </w:rPr>
        <w:t>while having</w:t>
      </w:r>
      <w:r w:rsidRPr="00562388">
        <w:rPr>
          <w:color w:val="auto"/>
        </w:rPr>
        <w:t xml:space="preserve"> general </w:t>
      </w:r>
      <w:r w:rsidR="00104C3E">
        <w:rPr>
          <w:color w:val="auto"/>
        </w:rPr>
        <w:t xml:space="preserve">(global) </w:t>
      </w:r>
      <w:r w:rsidRPr="00562388">
        <w:rPr>
          <w:color w:val="auto"/>
        </w:rPr>
        <w:t xml:space="preserve">audience appeal. </w:t>
      </w:r>
      <w:r>
        <w:rPr>
          <w:color w:val="auto"/>
        </w:rPr>
        <w:t xml:space="preserve">These criteria also wish to avoid the stigma of </w:t>
      </w:r>
      <w:r w:rsidR="00104C3E">
        <w:rPr>
          <w:color w:val="auto"/>
        </w:rPr>
        <w:t xml:space="preserve">serving only </w:t>
      </w:r>
      <w:r>
        <w:rPr>
          <w:color w:val="auto"/>
        </w:rPr>
        <w:t>a</w:t>
      </w:r>
      <w:r w:rsidRPr="00562388">
        <w:rPr>
          <w:color w:val="auto"/>
        </w:rPr>
        <w:t xml:space="preserve"> developing country </w:t>
      </w:r>
      <w:r>
        <w:rPr>
          <w:color w:val="auto"/>
        </w:rPr>
        <w:t xml:space="preserve">audience and </w:t>
      </w:r>
      <w:r w:rsidR="00104C3E">
        <w:rPr>
          <w:color w:val="auto"/>
        </w:rPr>
        <w:t xml:space="preserve">avoiding </w:t>
      </w:r>
      <w:r>
        <w:rPr>
          <w:color w:val="auto"/>
        </w:rPr>
        <w:t xml:space="preserve">stereotypical topics. Carefully considered criteria help </w:t>
      </w:r>
      <w:r w:rsidRPr="00562388">
        <w:rPr>
          <w:color w:val="auto"/>
        </w:rPr>
        <w:t>build a brand beyond its traditional reach. As the head of the Open University - UK (OU-UK) remarked, the purpose (in their case) would be "to expose the best of this country's institutions to the world in ways they haven't been before" and to help [the university sector] compete "more effectively on a global stage" (Bean</w:t>
      </w:r>
      <w:r w:rsidR="006A539D">
        <w:rPr>
          <w:color w:val="auto"/>
        </w:rPr>
        <w:t>,</w:t>
      </w:r>
      <w:r w:rsidRPr="00562388">
        <w:rPr>
          <w:color w:val="auto"/>
        </w:rPr>
        <w:t xml:space="preserve"> 2012).</w:t>
      </w:r>
      <w:r w:rsidR="00300E7D">
        <w:rPr>
          <w:color w:val="auto"/>
        </w:rPr>
        <w:t xml:space="preserve"> </w:t>
      </w:r>
      <w:r w:rsidR="00300E7D" w:rsidRPr="00562388">
        <w:rPr>
          <w:color w:val="auto"/>
        </w:rPr>
        <w:t>These courses involve considerable production investment</w:t>
      </w:r>
      <w:r w:rsidR="00300E7D">
        <w:rPr>
          <w:color w:val="auto"/>
        </w:rPr>
        <w:t xml:space="preserve"> from MOOC developers</w:t>
      </w:r>
      <w:r w:rsidR="0034407A">
        <w:rPr>
          <w:color w:val="auto"/>
        </w:rPr>
        <w:t xml:space="preserve"> and</w:t>
      </w:r>
      <w:r w:rsidR="002231B2">
        <w:rPr>
          <w:color w:val="auto"/>
        </w:rPr>
        <w:t xml:space="preserve"> t</w:t>
      </w:r>
      <w:r w:rsidR="00300E7D" w:rsidRPr="00562388">
        <w:rPr>
          <w:color w:val="auto"/>
        </w:rPr>
        <w:t>here seems little opportunity for direct monetization</w:t>
      </w:r>
      <w:r w:rsidR="0034407A">
        <w:rPr>
          <w:color w:val="auto"/>
        </w:rPr>
        <w:t>,</w:t>
      </w:r>
    </w:p>
    <w:p w14:paraId="60E9B5F7" w14:textId="77777777" w:rsidR="00F3571C" w:rsidRPr="00562388" w:rsidRDefault="00F3571C" w:rsidP="00F3571C">
      <w:pPr>
        <w:pStyle w:val="Heading2"/>
        <w:widowControl w:val="0"/>
        <w:spacing w:before="360" w:after="80"/>
        <w:contextualSpacing w:val="0"/>
        <w:rPr>
          <w:rFonts w:ascii="Century Gothic" w:hAnsi="Century Gothic"/>
          <w:color w:val="auto"/>
          <w:sz w:val="24"/>
          <w:szCs w:val="24"/>
        </w:rPr>
      </w:pPr>
      <w:r w:rsidRPr="00562388">
        <w:rPr>
          <w:rFonts w:ascii="Century Gothic" w:hAnsi="Century Gothic"/>
          <w:color w:val="auto"/>
          <w:sz w:val="24"/>
          <w:szCs w:val="24"/>
        </w:rPr>
        <w:t>Category Five</w:t>
      </w:r>
      <w:r>
        <w:rPr>
          <w:rFonts w:ascii="Century Gothic" w:hAnsi="Century Gothic"/>
          <w:color w:val="auto"/>
          <w:sz w:val="24"/>
          <w:szCs w:val="24"/>
        </w:rPr>
        <w:t xml:space="preserve"> -</w:t>
      </w:r>
      <w:r w:rsidRPr="00562388">
        <w:rPr>
          <w:rFonts w:ascii="Century Gothic" w:hAnsi="Century Gothic"/>
          <w:color w:val="auto"/>
          <w:sz w:val="24"/>
          <w:szCs w:val="24"/>
        </w:rPr>
        <w:t xml:space="preserve"> </w:t>
      </w:r>
      <w:r>
        <w:rPr>
          <w:rFonts w:ascii="Century Gothic" w:hAnsi="Century Gothic"/>
          <w:color w:val="auto"/>
          <w:sz w:val="24"/>
          <w:szCs w:val="24"/>
        </w:rPr>
        <w:t>research</w:t>
      </w:r>
      <w:r w:rsidRPr="00562388">
        <w:rPr>
          <w:rFonts w:ascii="Century Gothic" w:hAnsi="Century Gothic"/>
          <w:color w:val="auto"/>
          <w:sz w:val="24"/>
          <w:szCs w:val="24"/>
        </w:rPr>
        <w:t xml:space="preserve"> </w:t>
      </w:r>
      <w:r>
        <w:rPr>
          <w:rFonts w:ascii="Century Gothic" w:hAnsi="Century Gothic"/>
          <w:color w:val="auto"/>
          <w:sz w:val="24"/>
          <w:szCs w:val="24"/>
        </w:rPr>
        <w:t>showcase</w:t>
      </w:r>
    </w:p>
    <w:p w14:paraId="00F6A012" w14:textId="6C6D715E" w:rsidR="00F3571C" w:rsidRPr="00562388" w:rsidRDefault="00F3571C" w:rsidP="00F3571C">
      <w:pPr>
        <w:pStyle w:val="NoSpacing"/>
        <w:rPr>
          <w:color w:val="auto"/>
        </w:rPr>
      </w:pPr>
      <w:r w:rsidRPr="00562388">
        <w:rPr>
          <w:color w:val="auto"/>
        </w:rPr>
        <w:t>Category 5 ‘</w:t>
      </w:r>
      <w:r>
        <w:rPr>
          <w:color w:val="auto"/>
        </w:rPr>
        <w:t>research showcase</w:t>
      </w:r>
      <w:r w:rsidRPr="00562388">
        <w:rPr>
          <w:color w:val="auto"/>
        </w:rPr>
        <w:t>’ MOOCs promot</w:t>
      </w:r>
      <w:r w:rsidR="00300E7D">
        <w:rPr>
          <w:color w:val="auto"/>
        </w:rPr>
        <w:t>e</w:t>
      </w:r>
      <w:r w:rsidRPr="00562388">
        <w:rPr>
          <w:color w:val="auto"/>
        </w:rPr>
        <w:t xml:space="preserve"> </w:t>
      </w:r>
      <w:r>
        <w:rPr>
          <w:color w:val="auto"/>
        </w:rPr>
        <w:t>an institution’s research</w:t>
      </w:r>
      <w:r w:rsidRPr="00562388">
        <w:rPr>
          <w:color w:val="auto"/>
        </w:rPr>
        <w:t xml:space="preserve"> </w:t>
      </w:r>
      <w:r>
        <w:rPr>
          <w:color w:val="auto"/>
        </w:rPr>
        <w:t>areas</w:t>
      </w:r>
      <w:r w:rsidR="000E4EB8">
        <w:rPr>
          <w:color w:val="auto"/>
        </w:rPr>
        <w:t xml:space="preserve"> or specialisms</w:t>
      </w:r>
      <w:r w:rsidRPr="00562388">
        <w:rPr>
          <w:color w:val="auto"/>
        </w:rPr>
        <w:t xml:space="preserve">. These </w:t>
      </w:r>
      <w:r>
        <w:rPr>
          <w:color w:val="auto"/>
        </w:rPr>
        <w:t xml:space="preserve">can </w:t>
      </w:r>
      <w:r w:rsidRPr="00562388">
        <w:rPr>
          <w:color w:val="auto"/>
        </w:rPr>
        <w:t>introduce participants to an institution's research lab and share research findings and thinking in ways traditional research dissemination cannot. Enrolment may be relatively low</w:t>
      </w:r>
      <w:r w:rsidR="000E4EB8">
        <w:rPr>
          <w:color w:val="auto"/>
        </w:rPr>
        <w:t xml:space="preserve"> (compared to a Category one MOOC)</w:t>
      </w:r>
      <w:r w:rsidRPr="00562388">
        <w:rPr>
          <w:color w:val="auto"/>
        </w:rPr>
        <w:t xml:space="preserve">, </w:t>
      </w:r>
      <w:r>
        <w:rPr>
          <w:color w:val="auto"/>
        </w:rPr>
        <w:t>yet</w:t>
      </w:r>
      <w:r w:rsidRPr="00562388">
        <w:rPr>
          <w:color w:val="auto"/>
        </w:rPr>
        <w:t xml:space="preserve"> the impact on the institutions’ research profile </w:t>
      </w:r>
      <w:r>
        <w:rPr>
          <w:color w:val="auto"/>
        </w:rPr>
        <w:t>may</w:t>
      </w:r>
      <w:r w:rsidRPr="00562388">
        <w:rPr>
          <w:color w:val="auto"/>
        </w:rPr>
        <w:t xml:space="preserve"> be </w:t>
      </w:r>
      <w:r>
        <w:rPr>
          <w:color w:val="auto"/>
        </w:rPr>
        <w:t xml:space="preserve">greater </w:t>
      </w:r>
      <w:r w:rsidRPr="00562388">
        <w:rPr>
          <w:color w:val="auto"/>
        </w:rPr>
        <w:t>and</w:t>
      </w:r>
      <w:r>
        <w:rPr>
          <w:color w:val="auto"/>
        </w:rPr>
        <w:t xml:space="preserve"> opportunities of</w:t>
      </w:r>
      <w:r w:rsidRPr="00562388">
        <w:rPr>
          <w:color w:val="auto"/>
        </w:rPr>
        <w:t xml:space="preserve"> attracting post</w:t>
      </w:r>
      <w:r w:rsidR="00DD6517">
        <w:rPr>
          <w:color w:val="auto"/>
        </w:rPr>
        <w:t>-</w:t>
      </w:r>
      <w:r w:rsidRPr="00562388">
        <w:rPr>
          <w:color w:val="auto"/>
        </w:rPr>
        <w:t>graduate students</w:t>
      </w:r>
      <w:r>
        <w:rPr>
          <w:color w:val="auto"/>
        </w:rPr>
        <w:t xml:space="preserve"> may exist.</w:t>
      </w:r>
      <w:r w:rsidRPr="00562388">
        <w:rPr>
          <w:color w:val="auto"/>
        </w:rPr>
        <w:t xml:space="preserve"> Examples</w:t>
      </w:r>
      <w:r w:rsidR="000E4EB8">
        <w:rPr>
          <w:color w:val="auto"/>
        </w:rPr>
        <w:t xml:space="preserve"> in our context</w:t>
      </w:r>
      <w:r w:rsidRPr="00562388">
        <w:rPr>
          <w:color w:val="auto"/>
        </w:rPr>
        <w:t xml:space="preserve"> </w:t>
      </w:r>
      <w:r w:rsidR="00370871">
        <w:rPr>
          <w:color w:val="auto"/>
        </w:rPr>
        <w:t>c</w:t>
      </w:r>
      <w:r w:rsidRPr="00562388">
        <w:rPr>
          <w:color w:val="auto"/>
        </w:rPr>
        <w:t xml:space="preserve">ould include courses </w:t>
      </w:r>
      <w:r w:rsidR="00370871">
        <w:rPr>
          <w:color w:val="auto"/>
        </w:rPr>
        <w:t xml:space="preserve">which focus </w:t>
      </w:r>
      <w:r w:rsidRPr="00562388">
        <w:rPr>
          <w:color w:val="auto"/>
        </w:rPr>
        <w:t xml:space="preserve">on </w:t>
      </w:r>
      <w:r w:rsidR="00370871">
        <w:rPr>
          <w:color w:val="auto"/>
        </w:rPr>
        <w:t xml:space="preserve">research into wildlife conservation </w:t>
      </w:r>
      <w:r w:rsidR="00F853C8">
        <w:rPr>
          <w:color w:val="auto"/>
        </w:rPr>
        <w:t>strategies, infectious</w:t>
      </w:r>
      <w:r w:rsidR="00370871">
        <w:rPr>
          <w:color w:val="auto"/>
        </w:rPr>
        <w:t xml:space="preserve"> diseases, urban development or food security</w:t>
      </w:r>
      <w:r w:rsidRPr="00562388">
        <w:rPr>
          <w:color w:val="auto"/>
        </w:rPr>
        <w:t>.</w:t>
      </w:r>
    </w:p>
    <w:p w14:paraId="10679621" w14:textId="77777777" w:rsidR="00F3571C" w:rsidRPr="00562388" w:rsidRDefault="00F3571C" w:rsidP="00F3571C">
      <w:pPr>
        <w:pStyle w:val="NoSpacing"/>
        <w:rPr>
          <w:color w:val="auto"/>
        </w:rPr>
      </w:pPr>
      <w:r w:rsidRPr="00562388">
        <w:rPr>
          <w:color w:val="auto"/>
        </w:rPr>
        <w:t xml:space="preserve"> </w:t>
      </w:r>
    </w:p>
    <w:p w14:paraId="70F71D52" w14:textId="423322C0" w:rsidR="00F3571C" w:rsidRPr="00562388" w:rsidRDefault="00F3571C" w:rsidP="00F3571C">
      <w:pPr>
        <w:pStyle w:val="NoSpacing"/>
        <w:rPr>
          <w:color w:val="auto"/>
        </w:rPr>
      </w:pPr>
      <w:r w:rsidRPr="00562388">
        <w:rPr>
          <w:color w:val="auto"/>
        </w:rPr>
        <w:t>These courses appeal to participants</w:t>
      </w:r>
      <w:r>
        <w:rPr>
          <w:color w:val="auto"/>
        </w:rPr>
        <w:t xml:space="preserve"> with </w:t>
      </w:r>
      <w:r w:rsidR="00027D42">
        <w:rPr>
          <w:color w:val="auto"/>
        </w:rPr>
        <w:t xml:space="preserve">graduate </w:t>
      </w:r>
      <w:r>
        <w:rPr>
          <w:color w:val="auto"/>
        </w:rPr>
        <w:t xml:space="preserve">degrees </w:t>
      </w:r>
      <w:r w:rsidR="00027D42">
        <w:rPr>
          <w:color w:val="auto"/>
        </w:rPr>
        <w:t>or who have a specialist interest in a topic</w:t>
      </w:r>
      <w:r w:rsidRPr="00562388">
        <w:rPr>
          <w:color w:val="auto"/>
        </w:rPr>
        <w:t>. The</w:t>
      </w:r>
      <w:r>
        <w:rPr>
          <w:color w:val="auto"/>
        </w:rPr>
        <w:t>y</w:t>
      </w:r>
      <w:r w:rsidRPr="00562388">
        <w:rPr>
          <w:color w:val="auto"/>
        </w:rPr>
        <w:t xml:space="preserve"> are keen to understand how research is conducted, seeing the context and accessing information. As with category </w:t>
      </w:r>
      <w:r w:rsidR="00027D42">
        <w:rPr>
          <w:color w:val="auto"/>
        </w:rPr>
        <w:t>one</w:t>
      </w:r>
      <w:r w:rsidRPr="00562388">
        <w:rPr>
          <w:color w:val="auto"/>
        </w:rPr>
        <w:t>, this MOOC type exist</w:t>
      </w:r>
      <w:r>
        <w:rPr>
          <w:color w:val="auto"/>
        </w:rPr>
        <w:t>s</w:t>
      </w:r>
      <w:r w:rsidRPr="00562388">
        <w:rPr>
          <w:color w:val="auto"/>
        </w:rPr>
        <w:t xml:space="preserve"> on the ‘</w:t>
      </w:r>
      <w:r w:rsidR="00784BC7">
        <w:rPr>
          <w:color w:val="auto"/>
        </w:rPr>
        <w:t>outward</w:t>
      </w:r>
      <w:r w:rsidRPr="00562388">
        <w:rPr>
          <w:color w:val="auto"/>
        </w:rPr>
        <w:t>’ strand of course provision</w:t>
      </w:r>
      <w:r w:rsidR="00027D42">
        <w:rPr>
          <w:color w:val="auto"/>
        </w:rPr>
        <w:t xml:space="preserve"> (see Figure 1)</w:t>
      </w:r>
      <w:r w:rsidRPr="00562388">
        <w:rPr>
          <w:color w:val="auto"/>
        </w:rPr>
        <w:t xml:space="preserve"> and reside</w:t>
      </w:r>
      <w:r>
        <w:rPr>
          <w:color w:val="auto"/>
        </w:rPr>
        <w:t>s</w:t>
      </w:r>
      <w:r w:rsidRPr="00562388">
        <w:rPr>
          <w:color w:val="auto"/>
        </w:rPr>
        <w:t xml:space="preserve"> primarily in the non-formal sector of the landscape of </w:t>
      </w:r>
      <w:r w:rsidR="0029117F">
        <w:rPr>
          <w:color w:val="auto"/>
        </w:rPr>
        <w:t>Higher Education</w:t>
      </w:r>
      <w:r w:rsidRPr="00562388">
        <w:rPr>
          <w:color w:val="auto"/>
        </w:rPr>
        <w:t xml:space="preserve"> provision.</w:t>
      </w:r>
      <w:r>
        <w:rPr>
          <w:color w:val="auto"/>
        </w:rPr>
        <w:t xml:space="preserve"> Courses in this category</w:t>
      </w:r>
      <w:r w:rsidRPr="00562388">
        <w:rPr>
          <w:color w:val="auto"/>
        </w:rPr>
        <w:t xml:space="preserve"> meet the institution’s need to raise its profile</w:t>
      </w:r>
      <w:r w:rsidR="00027D42">
        <w:rPr>
          <w:color w:val="auto"/>
        </w:rPr>
        <w:t xml:space="preserve"> and attract graduates for further study</w:t>
      </w:r>
      <w:r w:rsidRPr="00562388">
        <w:rPr>
          <w:color w:val="auto"/>
        </w:rPr>
        <w:t xml:space="preserve">. Participants may be more likely to join research communities </w:t>
      </w:r>
      <w:r>
        <w:rPr>
          <w:color w:val="auto"/>
        </w:rPr>
        <w:t>and</w:t>
      </w:r>
      <w:r w:rsidRPr="00562388">
        <w:rPr>
          <w:color w:val="auto"/>
        </w:rPr>
        <w:t xml:space="preserve"> use certification to promote their careers. Opportunities could arise for courses to also be offered as a small private online course (SPOC) with the potential to generate income. </w:t>
      </w:r>
    </w:p>
    <w:p w14:paraId="532CB402" w14:textId="77777777" w:rsidR="00F3571C" w:rsidRPr="00562388" w:rsidRDefault="00F3571C" w:rsidP="00F3571C">
      <w:pPr>
        <w:pStyle w:val="Heading2"/>
        <w:widowControl w:val="0"/>
        <w:spacing w:before="360" w:after="80"/>
        <w:contextualSpacing w:val="0"/>
        <w:rPr>
          <w:rFonts w:ascii="Century Gothic" w:hAnsi="Century Gothic"/>
          <w:color w:val="auto"/>
          <w:sz w:val="24"/>
          <w:szCs w:val="24"/>
        </w:rPr>
      </w:pPr>
      <w:r w:rsidRPr="00562388">
        <w:rPr>
          <w:rFonts w:ascii="Century Gothic" w:hAnsi="Century Gothic"/>
          <w:color w:val="auto"/>
          <w:sz w:val="24"/>
          <w:szCs w:val="24"/>
        </w:rPr>
        <w:t>Category Two</w:t>
      </w:r>
      <w:r>
        <w:rPr>
          <w:rFonts w:ascii="Century Gothic" w:hAnsi="Century Gothic"/>
          <w:color w:val="auto"/>
          <w:sz w:val="24"/>
          <w:szCs w:val="24"/>
        </w:rPr>
        <w:t xml:space="preserve"> -</w:t>
      </w:r>
      <w:r w:rsidRPr="00562388">
        <w:rPr>
          <w:rFonts w:ascii="Century Gothic" w:hAnsi="Century Gothic"/>
          <w:color w:val="auto"/>
          <w:sz w:val="24"/>
          <w:szCs w:val="24"/>
        </w:rPr>
        <w:t xml:space="preserve"> </w:t>
      </w:r>
      <w:r>
        <w:rPr>
          <w:rFonts w:ascii="Century Gothic" w:hAnsi="Century Gothic"/>
          <w:color w:val="auto"/>
          <w:sz w:val="24"/>
          <w:szCs w:val="24"/>
        </w:rPr>
        <w:t>g</w:t>
      </w:r>
      <w:r w:rsidRPr="00562388">
        <w:rPr>
          <w:rFonts w:ascii="Century Gothic" w:hAnsi="Century Gothic"/>
          <w:color w:val="auto"/>
          <w:sz w:val="24"/>
          <w:szCs w:val="24"/>
        </w:rPr>
        <w:t xml:space="preserve">ateway </w:t>
      </w:r>
      <w:r>
        <w:rPr>
          <w:rFonts w:ascii="Century Gothic" w:hAnsi="Century Gothic"/>
          <w:color w:val="auto"/>
          <w:sz w:val="24"/>
          <w:szCs w:val="24"/>
        </w:rPr>
        <w:t>skill</w:t>
      </w:r>
      <w:r w:rsidRPr="00562388">
        <w:rPr>
          <w:rFonts w:ascii="Century Gothic" w:hAnsi="Century Gothic"/>
          <w:color w:val="auto"/>
          <w:sz w:val="24"/>
          <w:szCs w:val="24"/>
        </w:rPr>
        <w:t>s</w:t>
      </w:r>
    </w:p>
    <w:p w14:paraId="75029175" w14:textId="40AB758D" w:rsidR="00F3571C" w:rsidRPr="00562388" w:rsidRDefault="00F3571C" w:rsidP="00F3571C">
      <w:pPr>
        <w:pStyle w:val="NoSpacing"/>
        <w:rPr>
          <w:color w:val="auto"/>
        </w:rPr>
      </w:pPr>
      <w:r w:rsidRPr="00562388">
        <w:rPr>
          <w:color w:val="auto"/>
        </w:rPr>
        <w:t>Category 2 ‘</w:t>
      </w:r>
      <w:r>
        <w:rPr>
          <w:color w:val="auto"/>
        </w:rPr>
        <w:t>g</w:t>
      </w:r>
      <w:r w:rsidRPr="00562388">
        <w:rPr>
          <w:color w:val="auto"/>
        </w:rPr>
        <w:t xml:space="preserve">ateway </w:t>
      </w:r>
      <w:r>
        <w:rPr>
          <w:color w:val="auto"/>
        </w:rPr>
        <w:t>s</w:t>
      </w:r>
      <w:r w:rsidRPr="00562388">
        <w:rPr>
          <w:color w:val="auto"/>
        </w:rPr>
        <w:t xml:space="preserve">kills’ </w:t>
      </w:r>
      <w:r>
        <w:rPr>
          <w:color w:val="auto"/>
        </w:rPr>
        <w:t>MOOCs</w:t>
      </w:r>
      <w:r w:rsidRPr="00562388">
        <w:rPr>
          <w:color w:val="auto"/>
        </w:rPr>
        <w:t xml:space="preserve"> </w:t>
      </w:r>
      <w:r>
        <w:rPr>
          <w:color w:val="auto"/>
        </w:rPr>
        <w:t>aim to</w:t>
      </w:r>
      <w:r w:rsidRPr="00562388">
        <w:rPr>
          <w:color w:val="auto"/>
        </w:rPr>
        <w:t xml:space="preserve"> prepar</w:t>
      </w:r>
      <w:r>
        <w:rPr>
          <w:color w:val="auto"/>
        </w:rPr>
        <w:t>e prospective students</w:t>
      </w:r>
      <w:r w:rsidRPr="00562388">
        <w:rPr>
          <w:color w:val="auto"/>
        </w:rPr>
        <w:t xml:space="preserve"> prior to university entry</w:t>
      </w:r>
      <w:r>
        <w:rPr>
          <w:color w:val="auto"/>
        </w:rPr>
        <w:t>, in selecting specialisation programme</w:t>
      </w:r>
      <w:r w:rsidR="00027D42">
        <w:rPr>
          <w:color w:val="auto"/>
        </w:rPr>
        <w:t>s</w:t>
      </w:r>
      <w:r>
        <w:rPr>
          <w:color w:val="auto"/>
        </w:rPr>
        <w:t xml:space="preserve"> or</w:t>
      </w:r>
      <w:r w:rsidRPr="00562388">
        <w:rPr>
          <w:color w:val="auto"/>
        </w:rPr>
        <w:t xml:space="preserve"> </w:t>
      </w:r>
      <w:r>
        <w:rPr>
          <w:color w:val="auto"/>
        </w:rPr>
        <w:t>for</w:t>
      </w:r>
      <w:r w:rsidRPr="00562388">
        <w:rPr>
          <w:color w:val="auto"/>
        </w:rPr>
        <w:t xml:space="preserve"> </w:t>
      </w:r>
      <w:r>
        <w:rPr>
          <w:color w:val="auto"/>
        </w:rPr>
        <w:t>developing skills needed by</w:t>
      </w:r>
      <w:r w:rsidRPr="00562388">
        <w:rPr>
          <w:color w:val="auto"/>
        </w:rPr>
        <w:t xml:space="preserve"> undergraduate students. </w:t>
      </w:r>
      <w:r>
        <w:rPr>
          <w:color w:val="auto"/>
        </w:rPr>
        <w:t xml:space="preserve">In contrast to </w:t>
      </w:r>
      <w:r w:rsidR="00027D42">
        <w:rPr>
          <w:color w:val="auto"/>
        </w:rPr>
        <w:t>categories one and five (discussed earlier)</w:t>
      </w:r>
      <w:r>
        <w:rPr>
          <w:color w:val="auto"/>
        </w:rPr>
        <w:t>, this and the following categories are more inward focused towards an institutions’ specific needs</w:t>
      </w:r>
      <w:r w:rsidRPr="00C95D12">
        <w:rPr>
          <w:color w:val="auto"/>
        </w:rPr>
        <w:t xml:space="preserve"> </w:t>
      </w:r>
      <w:r>
        <w:rPr>
          <w:color w:val="auto"/>
        </w:rPr>
        <w:t xml:space="preserve">in serving their own </w:t>
      </w:r>
      <w:r w:rsidR="00027D42">
        <w:rPr>
          <w:color w:val="auto"/>
        </w:rPr>
        <w:t xml:space="preserve">current or prospective </w:t>
      </w:r>
      <w:r>
        <w:rPr>
          <w:color w:val="auto"/>
        </w:rPr>
        <w:t>students</w:t>
      </w:r>
      <w:r w:rsidR="00027D42">
        <w:rPr>
          <w:color w:val="auto"/>
        </w:rPr>
        <w:t xml:space="preserve"> as well as a wider </w:t>
      </w:r>
      <w:r w:rsidR="00DD6517">
        <w:rPr>
          <w:color w:val="auto"/>
        </w:rPr>
        <w:t>constituency</w:t>
      </w:r>
      <w:r w:rsidR="00027D42">
        <w:rPr>
          <w:color w:val="auto"/>
        </w:rPr>
        <w:t xml:space="preserve"> made possible by the openness of MOOCs</w:t>
      </w:r>
      <w:r>
        <w:rPr>
          <w:color w:val="auto"/>
        </w:rPr>
        <w:t>. Universities have various interventions to support</w:t>
      </w:r>
      <w:r w:rsidRPr="00562388">
        <w:rPr>
          <w:color w:val="auto"/>
        </w:rPr>
        <w:t xml:space="preserve"> student</w:t>
      </w:r>
      <w:r>
        <w:rPr>
          <w:color w:val="auto"/>
        </w:rPr>
        <w:t>s</w:t>
      </w:r>
      <w:r w:rsidRPr="00562388">
        <w:rPr>
          <w:color w:val="auto"/>
        </w:rPr>
        <w:t xml:space="preserve"> </w:t>
      </w:r>
      <w:r>
        <w:rPr>
          <w:color w:val="auto"/>
        </w:rPr>
        <w:t xml:space="preserve">in transitioning </w:t>
      </w:r>
      <w:r w:rsidR="009625D4">
        <w:rPr>
          <w:color w:val="auto"/>
        </w:rPr>
        <w:t xml:space="preserve">the multiple </w:t>
      </w:r>
      <w:r>
        <w:rPr>
          <w:color w:val="auto"/>
        </w:rPr>
        <w:t>obstacles to becoming a successful student</w:t>
      </w:r>
      <w:r w:rsidRPr="00562388">
        <w:rPr>
          <w:color w:val="auto"/>
        </w:rPr>
        <w:t>. The</w:t>
      </w:r>
      <w:r>
        <w:rPr>
          <w:color w:val="auto"/>
        </w:rPr>
        <w:t>re are possibilities for</w:t>
      </w:r>
      <w:r w:rsidRPr="00562388">
        <w:rPr>
          <w:color w:val="auto"/>
        </w:rPr>
        <w:t xml:space="preserve"> cross-institutional development and the wrapping of MOOCs. Examples include developing “induction and preparation programmes” for prospective university entrants (Marshall, 2013) and supporting students</w:t>
      </w:r>
      <w:r w:rsidR="00DD6517">
        <w:rPr>
          <w:color w:val="auto"/>
        </w:rPr>
        <w:t xml:space="preserve"> to</w:t>
      </w:r>
      <w:r w:rsidRPr="00562388">
        <w:rPr>
          <w:color w:val="auto"/>
        </w:rPr>
        <w:t xml:space="preserve"> “conquer the gatekeeping courses” (Cormier</w:t>
      </w:r>
      <w:r w:rsidR="009625D4">
        <w:rPr>
          <w:color w:val="auto"/>
        </w:rPr>
        <w:t>,</w:t>
      </w:r>
      <w:r w:rsidRPr="00562388">
        <w:rPr>
          <w:color w:val="auto"/>
        </w:rPr>
        <w:t>2013). There are initiatives on local campuses to enhance the teaching of non-core, supplementary courses by reducing the reliance on large class lecture-based teaching in favour of more interactive online modes.</w:t>
      </w:r>
      <w:r w:rsidR="00927D03">
        <w:rPr>
          <w:color w:val="auto"/>
        </w:rPr>
        <w:t xml:space="preserve"> In our context, the particular issues of post-Apartheid </w:t>
      </w:r>
      <w:r w:rsidR="00A35D04">
        <w:rPr>
          <w:color w:val="auto"/>
        </w:rPr>
        <w:t xml:space="preserve">educational disparity mean that any measures to supplement preparation for university study should be </w:t>
      </w:r>
      <w:r w:rsidR="008C58DC">
        <w:rPr>
          <w:color w:val="auto"/>
        </w:rPr>
        <w:t>utilised as one of many option</w:t>
      </w:r>
      <w:r w:rsidR="009625D4">
        <w:rPr>
          <w:color w:val="auto"/>
        </w:rPr>
        <w:t>s</w:t>
      </w:r>
      <w:r w:rsidR="008C58DC">
        <w:rPr>
          <w:color w:val="auto"/>
        </w:rPr>
        <w:t xml:space="preserve"> in an array of strategies. </w:t>
      </w:r>
      <w:r w:rsidR="00A35D04">
        <w:rPr>
          <w:color w:val="auto"/>
        </w:rPr>
        <w:t xml:space="preserve"> MOOCs or MOOC-like courses can only ever been seen as </w:t>
      </w:r>
      <w:r w:rsidR="009625D4">
        <w:rPr>
          <w:color w:val="auto"/>
        </w:rPr>
        <w:t>a</w:t>
      </w:r>
      <w:r w:rsidR="00A35D04">
        <w:rPr>
          <w:color w:val="auto"/>
        </w:rPr>
        <w:t xml:space="preserve"> limited</w:t>
      </w:r>
      <w:r w:rsidR="00DD6517">
        <w:rPr>
          <w:color w:val="auto"/>
        </w:rPr>
        <w:t xml:space="preserve"> </w:t>
      </w:r>
      <w:r w:rsidR="00A35D04">
        <w:rPr>
          <w:color w:val="auto"/>
        </w:rPr>
        <w:t>strategy for addressing educational disadvantage</w:t>
      </w:r>
      <w:r w:rsidR="008C58DC">
        <w:rPr>
          <w:color w:val="auto"/>
        </w:rPr>
        <w:t xml:space="preserve">; they are not the </w:t>
      </w:r>
      <w:r w:rsidR="00AB4623">
        <w:rPr>
          <w:color w:val="auto"/>
        </w:rPr>
        <w:t>solution</w:t>
      </w:r>
      <w:r w:rsidR="00A35D04">
        <w:rPr>
          <w:color w:val="auto"/>
        </w:rPr>
        <w:t>.</w:t>
      </w:r>
      <w:r w:rsidRPr="00562388">
        <w:rPr>
          <w:color w:val="auto"/>
        </w:rPr>
        <w:t xml:space="preserve">  </w:t>
      </w:r>
    </w:p>
    <w:p w14:paraId="7E932272" w14:textId="77777777" w:rsidR="00F3571C" w:rsidRPr="00562388" w:rsidRDefault="00F3571C" w:rsidP="00F3571C">
      <w:pPr>
        <w:pStyle w:val="Heading2"/>
        <w:widowControl w:val="0"/>
        <w:spacing w:before="360" w:after="80"/>
        <w:contextualSpacing w:val="0"/>
        <w:rPr>
          <w:rFonts w:ascii="Century Gothic" w:hAnsi="Century Gothic"/>
          <w:color w:val="auto"/>
          <w:sz w:val="24"/>
          <w:szCs w:val="24"/>
        </w:rPr>
      </w:pPr>
      <w:r w:rsidRPr="00562388">
        <w:rPr>
          <w:rFonts w:ascii="Century Gothic" w:hAnsi="Century Gothic"/>
          <w:color w:val="auto"/>
          <w:sz w:val="24"/>
          <w:szCs w:val="24"/>
        </w:rPr>
        <w:t>Category Three Gateway Graduate Literacies Courses</w:t>
      </w:r>
    </w:p>
    <w:p w14:paraId="6D9D73CF" w14:textId="7412941B" w:rsidR="00F3571C" w:rsidRPr="00562388" w:rsidRDefault="00F3571C" w:rsidP="00F3571C">
      <w:pPr>
        <w:pStyle w:val="NoSpacing"/>
        <w:rPr>
          <w:color w:val="auto"/>
        </w:rPr>
      </w:pPr>
      <w:r w:rsidRPr="00562388">
        <w:rPr>
          <w:color w:val="auto"/>
        </w:rPr>
        <w:t xml:space="preserve">Category </w:t>
      </w:r>
      <w:r w:rsidR="00300E7D">
        <w:rPr>
          <w:color w:val="auto"/>
        </w:rPr>
        <w:t>three</w:t>
      </w:r>
      <w:r w:rsidR="00DD6517">
        <w:rPr>
          <w:color w:val="auto"/>
        </w:rPr>
        <w:t>,</w:t>
      </w:r>
      <w:r w:rsidRPr="00562388">
        <w:rPr>
          <w:color w:val="auto"/>
        </w:rPr>
        <w:t xml:space="preserve"> </w:t>
      </w:r>
      <w:r>
        <w:rPr>
          <w:color w:val="auto"/>
        </w:rPr>
        <w:t>‘g</w:t>
      </w:r>
      <w:r w:rsidRPr="00562388">
        <w:rPr>
          <w:color w:val="auto"/>
        </w:rPr>
        <w:t xml:space="preserve">raduate </w:t>
      </w:r>
      <w:r>
        <w:rPr>
          <w:color w:val="auto"/>
        </w:rPr>
        <w:t>l</w:t>
      </w:r>
      <w:r w:rsidRPr="00562388">
        <w:rPr>
          <w:color w:val="auto"/>
        </w:rPr>
        <w:t>iteracies</w:t>
      </w:r>
      <w:r>
        <w:rPr>
          <w:color w:val="auto"/>
        </w:rPr>
        <w:t>’ MOOCs</w:t>
      </w:r>
      <w:r w:rsidR="003412BE">
        <w:rPr>
          <w:color w:val="auto"/>
        </w:rPr>
        <w:t>,</w:t>
      </w:r>
      <w:r w:rsidRPr="00562388">
        <w:rPr>
          <w:color w:val="auto"/>
        </w:rPr>
        <w:t xml:space="preserve"> support</w:t>
      </w:r>
      <w:r>
        <w:rPr>
          <w:color w:val="auto"/>
        </w:rPr>
        <w:t xml:space="preserve"> students entering postgraduate studies. Students </w:t>
      </w:r>
      <w:r w:rsidR="00EB176F">
        <w:rPr>
          <w:color w:val="auto"/>
        </w:rPr>
        <w:t xml:space="preserve">often </w:t>
      </w:r>
      <w:r>
        <w:rPr>
          <w:color w:val="auto"/>
        </w:rPr>
        <w:t>require support</w:t>
      </w:r>
      <w:r w:rsidRPr="00562388">
        <w:rPr>
          <w:color w:val="auto"/>
        </w:rPr>
        <w:t xml:space="preserve"> </w:t>
      </w:r>
      <w:r>
        <w:rPr>
          <w:color w:val="auto"/>
        </w:rPr>
        <w:t xml:space="preserve">with </w:t>
      </w:r>
      <w:r w:rsidRPr="00562388">
        <w:rPr>
          <w:color w:val="auto"/>
        </w:rPr>
        <w:t>research orientation, writing practice</w:t>
      </w:r>
      <w:r>
        <w:rPr>
          <w:color w:val="auto"/>
        </w:rPr>
        <w:t>s</w:t>
      </w:r>
      <w:r w:rsidRPr="00562388">
        <w:rPr>
          <w:color w:val="auto"/>
        </w:rPr>
        <w:t xml:space="preserve">, and the development of </w:t>
      </w:r>
      <w:r>
        <w:rPr>
          <w:color w:val="auto"/>
        </w:rPr>
        <w:t>specialist skill</w:t>
      </w:r>
      <w:r w:rsidRPr="00562388">
        <w:rPr>
          <w:color w:val="auto"/>
        </w:rPr>
        <w:t>s. The</w:t>
      </w:r>
      <w:r w:rsidR="00EB176F">
        <w:rPr>
          <w:color w:val="auto"/>
        </w:rPr>
        <w:t>re</w:t>
      </w:r>
      <w:r w:rsidRPr="00562388">
        <w:rPr>
          <w:color w:val="auto"/>
        </w:rPr>
        <w:t xml:space="preserve"> is a high demand for more flexible forms of postgraduate study</w:t>
      </w:r>
      <w:r>
        <w:rPr>
          <w:color w:val="auto"/>
        </w:rPr>
        <w:t>, especially for those in fulltime employment. Individual support for students by their supervisors is understandably limited</w:t>
      </w:r>
      <w:r w:rsidRPr="00562388">
        <w:rPr>
          <w:color w:val="auto"/>
        </w:rPr>
        <w:t xml:space="preserve">. </w:t>
      </w:r>
      <w:r>
        <w:rPr>
          <w:color w:val="auto"/>
        </w:rPr>
        <w:t>Students entering postgraduate study typically come with some skills</w:t>
      </w:r>
      <w:r w:rsidRPr="00562388">
        <w:rPr>
          <w:color w:val="auto"/>
        </w:rPr>
        <w:t xml:space="preserve"> and </w:t>
      </w:r>
      <w:r>
        <w:rPr>
          <w:color w:val="auto"/>
        </w:rPr>
        <w:t xml:space="preserve">some </w:t>
      </w:r>
      <w:r w:rsidRPr="00562388">
        <w:rPr>
          <w:color w:val="auto"/>
        </w:rPr>
        <w:t xml:space="preserve">familiarity with </w:t>
      </w:r>
      <w:r w:rsidR="0029117F">
        <w:rPr>
          <w:color w:val="auto"/>
        </w:rPr>
        <w:t>Higher Education</w:t>
      </w:r>
      <w:r>
        <w:rPr>
          <w:color w:val="auto"/>
        </w:rPr>
        <w:t>,</w:t>
      </w:r>
      <w:r w:rsidRPr="00562388">
        <w:rPr>
          <w:color w:val="auto"/>
        </w:rPr>
        <w:t xml:space="preserve"> </w:t>
      </w:r>
      <w:r>
        <w:rPr>
          <w:color w:val="auto"/>
        </w:rPr>
        <w:t xml:space="preserve">thus they are often </w:t>
      </w:r>
      <w:r w:rsidRPr="00562388">
        <w:rPr>
          <w:color w:val="auto"/>
        </w:rPr>
        <w:t>well prepared for self-directed learning in MOOCs.  Here MOOC-type courses are typically seen as supplementary rather than substitutes for formal credit-bearing degree courses. More formal courses may be for credit.</w:t>
      </w:r>
      <w:r w:rsidR="00EA404B">
        <w:rPr>
          <w:color w:val="auto"/>
        </w:rPr>
        <w:t xml:space="preserve"> In our context, there is a need to increase the numbers of Master’s and </w:t>
      </w:r>
      <w:r w:rsidR="00EB176F">
        <w:rPr>
          <w:color w:val="auto"/>
        </w:rPr>
        <w:t>D</w:t>
      </w:r>
      <w:r w:rsidR="00EA404B">
        <w:rPr>
          <w:color w:val="auto"/>
        </w:rPr>
        <w:t>octorates (</w:t>
      </w:r>
      <w:r w:rsidR="004446EB">
        <w:rPr>
          <w:color w:val="auto"/>
        </w:rPr>
        <w:t>DHET, 2013</w:t>
      </w:r>
      <w:r w:rsidR="00EA404B">
        <w:rPr>
          <w:color w:val="auto"/>
        </w:rPr>
        <w:t xml:space="preserve">) and MOOCs which can assist students in developing research skills, for example, </w:t>
      </w:r>
      <w:r w:rsidR="00340098">
        <w:rPr>
          <w:color w:val="auto"/>
        </w:rPr>
        <w:t>may be</w:t>
      </w:r>
      <w:r w:rsidR="00EA404B">
        <w:rPr>
          <w:color w:val="auto"/>
        </w:rPr>
        <w:t xml:space="preserve"> feasible.</w:t>
      </w:r>
      <w:r w:rsidR="00DE3B23">
        <w:rPr>
          <w:color w:val="auto"/>
        </w:rPr>
        <w:t xml:space="preserve"> Our institution also attracts (and seeks to increase in number) </w:t>
      </w:r>
      <w:r w:rsidR="00C33D53">
        <w:rPr>
          <w:color w:val="auto"/>
        </w:rPr>
        <w:t>post</w:t>
      </w:r>
      <w:r w:rsidR="00DE3B23">
        <w:rPr>
          <w:color w:val="auto"/>
        </w:rPr>
        <w:t>graduate students from other African countries</w:t>
      </w:r>
      <w:r w:rsidR="00EC40D0">
        <w:rPr>
          <w:color w:val="auto"/>
        </w:rPr>
        <w:t>.</w:t>
      </w:r>
      <w:r w:rsidR="00C33D53">
        <w:rPr>
          <w:color w:val="auto"/>
        </w:rPr>
        <w:t xml:space="preserve"> MOOCs may </w:t>
      </w:r>
      <w:r w:rsidR="00EC40D0">
        <w:rPr>
          <w:color w:val="auto"/>
        </w:rPr>
        <w:t>provide one</w:t>
      </w:r>
      <w:r w:rsidR="00C33D53">
        <w:rPr>
          <w:color w:val="auto"/>
        </w:rPr>
        <w:t xml:space="preserve"> mechanism for both attracting and </w:t>
      </w:r>
      <w:r w:rsidR="00063A2D">
        <w:rPr>
          <w:color w:val="auto"/>
        </w:rPr>
        <w:t xml:space="preserve">orientating </w:t>
      </w:r>
      <w:r w:rsidR="00C40945">
        <w:rPr>
          <w:color w:val="auto"/>
        </w:rPr>
        <w:t>prospective postgraduate</w:t>
      </w:r>
      <w:r w:rsidR="00EC40D0">
        <w:rPr>
          <w:color w:val="auto"/>
        </w:rPr>
        <w:t xml:space="preserve">s, easing transitions between different educational systems and from work-based to research-based styles of research. </w:t>
      </w:r>
    </w:p>
    <w:p w14:paraId="4C70CAE7" w14:textId="77777777" w:rsidR="00F3571C" w:rsidRPr="00562388" w:rsidRDefault="00F3571C" w:rsidP="00F3571C">
      <w:pPr>
        <w:pStyle w:val="Heading2"/>
        <w:widowControl w:val="0"/>
        <w:spacing w:before="360" w:after="80"/>
        <w:contextualSpacing w:val="0"/>
        <w:rPr>
          <w:rFonts w:ascii="Century Gothic" w:hAnsi="Century Gothic"/>
          <w:color w:val="auto"/>
          <w:sz w:val="24"/>
          <w:szCs w:val="24"/>
        </w:rPr>
      </w:pPr>
      <w:r w:rsidRPr="00562388">
        <w:rPr>
          <w:rFonts w:ascii="Century Gothic" w:hAnsi="Century Gothic"/>
          <w:color w:val="auto"/>
          <w:sz w:val="24"/>
          <w:szCs w:val="24"/>
        </w:rPr>
        <w:t xml:space="preserve">Category Four: Professional Skills Courses </w:t>
      </w:r>
    </w:p>
    <w:p w14:paraId="1E24DFC1" w14:textId="28FC9FBC" w:rsidR="00F3571C" w:rsidRPr="00562388" w:rsidRDefault="00F3571C" w:rsidP="00F3571C">
      <w:pPr>
        <w:pStyle w:val="NoSpacing"/>
        <w:rPr>
          <w:color w:val="auto"/>
        </w:rPr>
      </w:pPr>
      <w:r w:rsidRPr="00562388">
        <w:rPr>
          <w:color w:val="auto"/>
        </w:rPr>
        <w:t xml:space="preserve">Category </w:t>
      </w:r>
      <w:r w:rsidR="00300E7D">
        <w:rPr>
          <w:color w:val="auto"/>
        </w:rPr>
        <w:t>four</w:t>
      </w:r>
      <w:r w:rsidRPr="00562388">
        <w:rPr>
          <w:color w:val="auto"/>
        </w:rPr>
        <w:t xml:space="preserve"> ‘professional development’ </w:t>
      </w:r>
      <w:r>
        <w:rPr>
          <w:color w:val="auto"/>
        </w:rPr>
        <w:t>MOOCs</w:t>
      </w:r>
      <w:r w:rsidRPr="00562388">
        <w:rPr>
          <w:color w:val="auto"/>
        </w:rPr>
        <w:t xml:space="preserve"> are intended for working professionals who need to upskill</w:t>
      </w:r>
      <w:r>
        <w:rPr>
          <w:color w:val="auto"/>
        </w:rPr>
        <w:t xml:space="preserve"> or study further</w:t>
      </w:r>
      <w:r w:rsidRPr="00562388">
        <w:rPr>
          <w:color w:val="auto"/>
        </w:rPr>
        <w:t xml:space="preserve">. Universities have a long history of offering professional and vocational skills in response to national economic development priorities. These </w:t>
      </w:r>
      <w:r w:rsidR="007076BD">
        <w:rPr>
          <w:color w:val="auto"/>
        </w:rPr>
        <w:t>can</w:t>
      </w:r>
      <w:r w:rsidR="007076BD" w:rsidRPr="00562388">
        <w:rPr>
          <w:color w:val="auto"/>
        </w:rPr>
        <w:t xml:space="preserve"> generat</w:t>
      </w:r>
      <w:r w:rsidR="007076BD">
        <w:rPr>
          <w:color w:val="auto"/>
        </w:rPr>
        <w:t>e</w:t>
      </w:r>
      <w:r w:rsidR="007076BD" w:rsidRPr="00562388">
        <w:rPr>
          <w:color w:val="auto"/>
        </w:rPr>
        <w:t xml:space="preserve"> </w:t>
      </w:r>
      <w:r w:rsidRPr="00562388">
        <w:rPr>
          <w:color w:val="auto"/>
        </w:rPr>
        <w:t xml:space="preserve">a ‘third-income stream’ to supplement student fees and reduce reliance on government subsidies. </w:t>
      </w:r>
      <w:r w:rsidR="007076BD">
        <w:rPr>
          <w:color w:val="auto"/>
        </w:rPr>
        <w:t>Professional development</w:t>
      </w:r>
      <w:r w:rsidR="007076BD" w:rsidRPr="00562388">
        <w:rPr>
          <w:color w:val="auto"/>
        </w:rPr>
        <w:t xml:space="preserve"> </w:t>
      </w:r>
      <w:r w:rsidRPr="00562388">
        <w:rPr>
          <w:color w:val="auto"/>
        </w:rPr>
        <w:t>courses</w:t>
      </w:r>
      <w:r w:rsidRPr="00562388">
        <w:rPr>
          <w:b/>
          <w:color w:val="auto"/>
        </w:rPr>
        <w:t xml:space="preserve"> </w:t>
      </w:r>
      <w:r w:rsidRPr="00562388">
        <w:rPr>
          <w:color w:val="auto"/>
        </w:rPr>
        <w:t xml:space="preserve">are increasingly offered as online courses </w:t>
      </w:r>
      <w:r>
        <w:rPr>
          <w:color w:val="auto"/>
        </w:rPr>
        <w:t>and</w:t>
      </w:r>
      <w:r w:rsidRPr="00562388">
        <w:rPr>
          <w:color w:val="auto"/>
        </w:rPr>
        <w:t xml:space="preserve"> the expectations of students is for flexibility.</w:t>
      </w:r>
      <w:r w:rsidR="00EA404B">
        <w:rPr>
          <w:color w:val="auto"/>
        </w:rPr>
        <w:t xml:space="preserve"> Indeed some MOOC providers are focussing solely on this market: </w:t>
      </w:r>
      <w:r w:rsidR="00300E7D">
        <w:rPr>
          <w:color w:val="auto"/>
        </w:rPr>
        <w:t>MOOC provider</w:t>
      </w:r>
      <w:r w:rsidRPr="00562388">
        <w:rPr>
          <w:color w:val="auto"/>
        </w:rPr>
        <w:t xml:space="preserve"> Udacity’s ‘pivot’ towards vocational education and training followed </w:t>
      </w:r>
      <w:r w:rsidR="00300E7D">
        <w:rPr>
          <w:color w:val="auto"/>
        </w:rPr>
        <w:t>its</w:t>
      </w:r>
      <w:r w:rsidR="00300E7D" w:rsidRPr="00562388">
        <w:rPr>
          <w:color w:val="auto"/>
        </w:rPr>
        <w:t xml:space="preserve"> </w:t>
      </w:r>
      <w:r w:rsidRPr="00562388">
        <w:rPr>
          <w:color w:val="auto"/>
        </w:rPr>
        <w:t>decision to partner with industry to develop models of workplace education instead of providing public free online education</w:t>
      </w:r>
      <w:r w:rsidR="00300E7D">
        <w:rPr>
          <w:color w:val="auto"/>
        </w:rPr>
        <w:t xml:space="preserve"> – its original goal</w:t>
      </w:r>
      <w:r w:rsidRPr="00562388">
        <w:rPr>
          <w:color w:val="auto"/>
        </w:rPr>
        <w:t xml:space="preserve"> (Haber, 2013). </w:t>
      </w:r>
      <w:r w:rsidR="00300E7D">
        <w:rPr>
          <w:color w:val="auto"/>
        </w:rPr>
        <w:t>Category four courses</w:t>
      </w:r>
      <w:r w:rsidR="00C33D53" w:rsidRPr="00562388">
        <w:rPr>
          <w:color w:val="auto"/>
        </w:rPr>
        <w:t xml:space="preserve"> </w:t>
      </w:r>
      <w:r w:rsidRPr="00562388">
        <w:rPr>
          <w:color w:val="auto"/>
        </w:rPr>
        <w:t>fall into the semi-formal landscape and provide a porous engagement with the mainstream</w:t>
      </w:r>
      <w:r w:rsidR="00C33D53">
        <w:rPr>
          <w:color w:val="auto"/>
        </w:rPr>
        <w:t xml:space="preserve">, </w:t>
      </w:r>
      <w:r w:rsidRPr="00562388">
        <w:rPr>
          <w:color w:val="auto"/>
        </w:rPr>
        <w:t xml:space="preserve">potentially </w:t>
      </w:r>
      <w:r w:rsidR="007076BD">
        <w:rPr>
          <w:color w:val="auto"/>
        </w:rPr>
        <w:t>offering</w:t>
      </w:r>
      <w:r w:rsidR="007076BD" w:rsidRPr="00562388">
        <w:rPr>
          <w:color w:val="auto"/>
        </w:rPr>
        <w:t xml:space="preserve"> </w:t>
      </w:r>
      <w:r w:rsidRPr="00562388">
        <w:rPr>
          <w:color w:val="auto"/>
        </w:rPr>
        <w:t xml:space="preserve">certification opportunities within the semi-formal band, possibly in conjunction with professional organisations or industry. </w:t>
      </w:r>
      <w:r w:rsidR="00EA404B">
        <w:rPr>
          <w:color w:val="auto"/>
        </w:rPr>
        <w:t xml:space="preserve"> In our context,</w:t>
      </w:r>
      <w:r w:rsidR="007076BD">
        <w:rPr>
          <w:color w:val="auto"/>
        </w:rPr>
        <w:t xml:space="preserve"> where there is an acute skills shortage, MOOCs could </w:t>
      </w:r>
      <w:r w:rsidR="00DD6517">
        <w:rPr>
          <w:color w:val="auto"/>
        </w:rPr>
        <w:t xml:space="preserve">fulfill </w:t>
      </w:r>
      <w:r w:rsidR="007076BD">
        <w:rPr>
          <w:color w:val="auto"/>
        </w:rPr>
        <w:t xml:space="preserve">very useful </w:t>
      </w:r>
      <w:r w:rsidR="009B4231">
        <w:rPr>
          <w:color w:val="auto"/>
        </w:rPr>
        <w:t>functions</w:t>
      </w:r>
      <w:r w:rsidR="007076BD">
        <w:rPr>
          <w:color w:val="auto"/>
        </w:rPr>
        <w:t xml:space="preserve">.  </w:t>
      </w:r>
      <w:r w:rsidR="009B4231">
        <w:rPr>
          <w:color w:val="auto"/>
        </w:rPr>
        <w:t>For</w:t>
      </w:r>
      <w:r w:rsidR="007076BD">
        <w:rPr>
          <w:color w:val="auto"/>
        </w:rPr>
        <w:t xml:space="preserve"> a novice market, MOOCs may be able to provide a taster function – offering corporate </w:t>
      </w:r>
      <w:r w:rsidR="009B4231">
        <w:rPr>
          <w:color w:val="auto"/>
        </w:rPr>
        <w:t xml:space="preserve">skills development professionals </w:t>
      </w:r>
      <w:r w:rsidR="007076BD">
        <w:rPr>
          <w:color w:val="auto"/>
        </w:rPr>
        <w:t xml:space="preserve"> the opportunity to experiment with the online learning spaces before committing to any financial investment.</w:t>
      </w:r>
      <w:r w:rsidR="00EA404B">
        <w:rPr>
          <w:color w:val="auto"/>
        </w:rPr>
        <w:t xml:space="preserve"> </w:t>
      </w:r>
      <w:r w:rsidR="009B4231">
        <w:rPr>
          <w:color w:val="auto"/>
        </w:rPr>
        <w:t xml:space="preserve">The ‘try-out’ potentially benefits both the learners (who are able to test whether they have the aptitude and appetite for </w:t>
      </w:r>
      <w:r w:rsidR="00390E05">
        <w:rPr>
          <w:color w:val="auto"/>
        </w:rPr>
        <w:t xml:space="preserve"> further </w:t>
      </w:r>
      <w:r w:rsidR="009B4231">
        <w:rPr>
          <w:color w:val="auto"/>
        </w:rPr>
        <w:t xml:space="preserve"> learning</w:t>
      </w:r>
      <w:r w:rsidR="00390E05">
        <w:rPr>
          <w:color w:val="auto"/>
        </w:rPr>
        <w:t xml:space="preserve"> online</w:t>
      </w:r>
      <w:r w:rsidR="009B4231">
        <w:rPr>
          <w:color w:val="auto"/>
        </w:rPr>
        <w:t>) and the institution which can use the MOOC as an advertisement for mo</w:t>
      </w:r>
      <w:r w:rsidR="008560B3">
        <w:rPr>
          <w:color w:val="auto"/>
        </w:rPr>
        <w:t>re in</w:t>
      </w:r>
      <w:r w:rsidR="00AB4623">
        <w:rPr>
          <w:color w:val="auto"/>
        </w:rPr>
        <w:t>-</w:t>
      </w:r>
      <w:r w:rsidR="008560B3">
        <w:rPr>
          <w:color w:val="auto"/>
        </w:rPr>
        <w:t xml:space="preserve">depth fee-based courses.  </w:t>
      </w:r>
    </w:p>
    <w:p w14:paraId="07A8AECE" w14:textId="77777777" w:rsidR="00F3571C" w:rsidRPr="00562388" w:rsidRDefault="00F3571C" w:rsidP="00F3571C">
      <w:pPr>
        <w:widowControl w:val="0"/>
        <w:rPr>
          <w:color w:val="auto"/>
        </w:rPr>
      </w:pPr>
    </w:p>
    <w:p w14:paraId="6D46D772" w14:textId="77777777" w:rsidR="00F3571C" w:rsidRPr="00562388" w:rsidRDefault="00F3571C" w:rsidP="00F3571C">
      <w:pPr>
        <w:pStyle w:val="Title"/>
        <w:widowControl w:val="0"/>
        <w:contextualSpacing w:val="0"/>
        <w:rPr>
          <w:rFonts w:ascii="Century Gothic" w:hAnsi="Century Gothic"/>
          <w:color w:val="auto"/>
        </w:rPr>
      </w:pPr>
      <w:r w:rsidRPr="00562388">
        <w:rPr>
          <w:rFonts w:ascii="Century Gothic" w:hAnsi="Century Gothic"/>
          <w:b/>
          <w:color w:val="auto"/>
          <w:sz w:val="32"/>
        </w:rPr>
        <w:t xml:space="preserve">MOOC </w:t>
      </w:r>
      <w:r>
        <w:rPr>
          <w:rFonts w:ascii="Century Gothic" w:hAnsi="Century Gothic"/>
          <w:b/>
          <w:color w:val="auto"/>
          <w:sz w:val="32"/>
        </w:rPr>
        <w:t>categories</w:t>
      </w:r>
      <w:r w:rsidRPr="00562388">
        <w:rPr>
          <w:rFonts w:ascii="Century Gothic" w:hAnsi="Century Gothic"/>
          <w:b/>
          <w:color w:val="auto"/>
          <w:sz w:val="32"/>
        </w:rPr>
        <w:t xml:space="preserve"> </w:t>
      </w:r>
      <w:r>
        <w:rPr>
          <w:rFonts w:ascii="Century Gothic" w:hAnsi="Century Gothic"/>
          <w:b/>
          <w:color w:val="auto"/>
          <w:sz w:val="32"/>
        </w:rPr>
        <w:t>and</w:t>
      </w:r>
      <w:r w:rsidRPr="00562388">
        <w:rPr>
          <w:rFonts w:ascii="Century Gothic" w:hAnsi="Century Gothic"/>
          <w:b/>
          <w:color w:val="auto"/>
          <w:sz w:val="32"/>
        </w:rPr>
        <w:t xml:space="preserve"> the curriculum landscape</w:t>
      </w:r>
    </w:p>
    <w:p w14:paraId="51C41C9C" w14:textId="7E88C443" w:rsidR="00F3571C" w:rsidRPr="00562388" w:rsidRDefault="00F3571C" w:rsidP="00F3571C">
      <w:pPr>
        <w:pStyle w:val="NoSpacing"/>
        <w:rPr>
          <w:color w:val="auto"/>
        </w:rPr>
      </w:pPr>
      <w:r w:rsidRPr="00562388">
        <w:rPr>
          <w:color w:val="auto"/>
        </w:rPr>
        <w:t xml:space="preserve">Visualising where these various categories of MOOCs are located within the existing landscape of </w:t>
      </w:r>
      <w:r w:rsidR="0029117F">
        <w:rPr>
          <w:color w:val="auto"/>
        </w:rPr>
        <w:t>Higher Education</w:t>
      </w:r>
      <w:r w:rsidRPr="00562388">
        <w:rPr>
          <w:color w:val="auto"/>
        </w:rPr>
        <w:t xml:space="preserve"> provision allows one to see how courses cluster and </w:t>
      </w:r>
      <w:r>
        <w:rPr>
          <w:color w:val="auto"/>
        </w:rPr>
        <w:t xml:space="preserve">to </w:t>
      </w:r>
      <w:r w:rsidRPr="00562388">
        <w:rPr>
          <w:color w:val="auto"/>
        </w:rPr>
        <w:t>imagine how they could be re-located or re-purposed. This may mean shifting the purpose and audience and allow</w:t>
      </w:r>
      <w:r>
        <w:rPr>
          <w:color w:val="auto"/>
        </w:rPr>
        <w:t>ing</w:t>
      </w:r>
      <w:r w:rsidRPr="00562388">
        <w:rPr>
          <w:color w:val="auto"/>
        </w:rPr>
        <w:t xml:space="preserve"> for more flexible delivery as they are moved into the semi-formal or even non-formal domain. It is conceivable that some courses may exist across more than one domain </w:t>
      </w:r>
      <w:r>
        <w:rPr>
          <w:color w:val="auto"/>
        </w:rPr>
        <w:t>–</w:t>
      </w:r>
      <w:r w:rsidRPr="00562388">
        <w:rPr>
          <w:color w:val="auto"/>
        </w:rPr>
        <w:t xml:space="preserve"> and already, the MOOC models have evolved in this direction, with the emergence of small private online courses (SPOCs) which reuse the MOOC material and run parallel </w:t>
      </w:r>
      <w:r w:rsidR="00DD6517">
        <w:rPr>
          <w:color w:val="auto"/>
        </w:rPr>
        <w:t>with</w:t>
      </w:r>
      <w:r w:rsidR="00390E05">
        <w:rPr>
          <w:color w:val="auto"/>
        </w:rPr>
        <w:t xml:space="preserve"> </w:t>
      </w:r>
      <w:r w:rsidRPr="00562388">
        <w:rPr>
          <w:color w:val="auto"/>
        </w:rPr>
        <w:t>flipped classroom support for fee-paying students. There may be some friction involved in moving courses across this landscape, such as student perceptions of the validity of an open boundary course or the value of qualifications achieved in a formal domain if the same course is offered in a semi-formal format (Marshall, 2013). It may simply not be feasible to run some courses online or in multiple domains because of the nature of the course or the work involved. The diagram below plots some possible MOOCs according to categories and indicative MOOCs (for illustration purposes)</w:t>
      </w:r>
      <w:r w:rsidR="00EA404B">
        <w:rPr>
          <w:color w:val="auto"/>
        </w:rPr>
        <w:t xml:space="preserve"> that may be appropriate for our institution</w:t>
      </w:r>
      <w:r w:rsidRPr="00562388">
        <w:rPr>
          <w:color w:val="auto"/>
        </w:rPr>
        <w:t>.</w:t>
      </w:r>
    </w:p>
    <w:p w14:paraId="6B8A7199" w14:textId="77777777" w:rsidR="00F3571C" w:rsidRPr="00562388" w:rsidRDefault="00F3571C" w:rsidP="00F3571C">
      <w:pPr>
        <w:pStyle w:val="NoSpacing"/>
        <w:rPr>
          <w:color w:val="auto"/>
        </w:rPr>
      </w:pPr>
      <w:r w:rsidRPr="00562388">
        <w:rPr>
          <w:color w:val="auto"/>
        </w:rPr>
        <w:t xml:space="preserve"> </w:t>
      </w:r>
    </w:p>
    <w:p w14:paraId="3934EE1F" w14:textId="77777777" w:rsidR="00F3571C" w:rsidRPr="00562388" w:rsidRDefault="00F3571C" w:rsidP="00F3571C">
      <w:pPr>
        <w:pStyle w:val="NoSpacing"/>
        <w:rPr>
          <w:color w:val="auto"/>
        </w:rPr>
      </w:pPr>
      <w:r w:rsidRPr="00562388">
        <w:rPr>
          <w:color w:val="auto"/>
        </w:rPr>
        <w:t>Unsurprisingly, given the high stakes around failure and achievement in the formal sector, most of the experiment</w:t>
      </w:r>
      <w:r w:rsidR="00AB4623">
        <w:rPr>
          <w:color w:val="auto"/>
        </w:rPr>
        <w:t>ation has been done in the semi-</w:t>
      </w:r>
      <w:r w:rsidRPr="00562388">
        <w:rPr>
          <w:color w:val="auto"/>
        </w:rPr>
        <w:t xml:space="preserve">formal arena of educational provision. The following diagram shows how these different MOOC type can be located in the curriculum landscape, additionally indicating how limited or open-ended pedagogical and platform choices might be. </w:t>
      </w:r>
    </w:p>
    <w:p w14:paraId="3E9FF8B3" w14:textId="77777777" w:rsidR="00F3571C" w:rsidRPr="00562388" w:rsidRDefault="00F3571C" w:rsidP="00F3571C">
      <w:pPr>
        <w:pStyle w:val="NoSpacing"/>
        <w:rPr>
          <w:color w:val="auto"/>
        </w:rPr>
      </w:pPr>
      <w:r w:rsidRPr="00562388">
        <w:rPr>
          <w:color w:val="auto"/>
        </w:rPr>
        <w:t xml:space="preserve"> </w:t>
      </w:r>
    </w:p>
    <w:p w14:paraId="1A14B1EA" w14:textId="77777777" w:rsidR="00F3571C" w:rsidRPr="00562388" w:rsidRDefault="00F3571C" w:rsidP="00F3571C">
      <w:pPr>
        <w:pStyle w:val="Title"/>
        <w:widowControl w:val="0"/>
        <w:contextualSpacing w:val="0"/>
        <w:rPr>
          <w:color w:val="auto"/>
        </w:rPr>
      </w:pPr>
      <w:r>
        <w:rPr>
          <w:noProof/>
          <w:lang w:val="en-US" w:eastAsia="en-US"/>
        </w:rPr>
        <w:drawing>
          <wp:inline distT="0" distB="0" distL="0" distR="0" wp14:anchorId="46F4A81B" wp14:editId="32E1F42B">
            <wp:extent cx="5372100" cy="4520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76912" cy="4524229"/>
                    </a:xfrm>
                    <a:prstGeom prst="rect">
                      <a:avLst/>
                    </a:prstGeom>
                    <a:noFill/>
                    <a:ln>
                      <a:noFill/>
                    </a:ln>
                  </pic:spPr>
                </pic:pic>
              </a:graphicData>
            </a:graphic>
          </wp:inline>
        </w:drawing>
      </w:r>
    </w:p>
    <w:p w14:paraId="26FA0B0B" w14:textId="77777777" w:rsidR="00F3571C" w:rsidRPr="00DA2AFD" w:rsidRDefault="00F3571C" w:rsidP="00F3571C">
      <w:pPr>
        <w:pStyle w:val="Title"/>
        <w:widowControl w:val="0"/>
        <w:contextualSpacing w:val="0"/>
        <w:rPr>
          <w:rFonts w:ascii="Arial Narrow" w:hAnsi="Arial Narrow" w:cs="Arial"/>
          <w:color w:val="auto"/>
          <w:sz w:val="22"/>
        </w:rPr>
      </w:pPr>
      <w:r w:rsidRPr="00DA2AFD">
        <w:rPr>
          <w:rFonts w:ascii="Arial Narrow" w:hAnsi="Arial Narrow" w:cs="Arial"/>
          <w:color w:val="auto"/>
          <w:sz w:val="22"/>
        </w:rPr>
        <w:t>Figure 3: Landscape of Higher Education provision with MOOC categories &amp; examples</w:t>
      </w:r>
    </w:p>
    <w:p w14:paraId="61865ED7" w14:textId="77777777" w:rsidR="00F3571C" w:rsidRPr="00562388" w:rsidRDefault="00F3571C" w:rsidP="00F3571C">
      <w:pPr>
        <w:pStyle w:val="Title"/>
        <w:widowControl w:val="0"/>
        <w:contextualSpacing w:val="0"/>
        <w:rPr>
          <w:color w:val="auto"/>
        </w:rPr>
      </w:pPr>
      <w:r w:rsidRPr="00562388">
        <w:rPr>
          <w:color w:val="auto"/>
        </w:rPr>
        <w:t xml:space="preserve"> </w:t>
      </w:r>
    </w:p>
    <w:p w14:paraId="7AF140A2" w14:textId="3F22C6F0" w:rsidR="00F3571C" w:rsidRPr="00562388" w:rsidRDefault="00F3571C" w:rsidP="00F3571C">
      <w:pPr>
        <w:pStyle w:val="NoSpacing"/>
        <w:rPr>
          <w:color w:val="auto"/>
        </w:rPr>
      </w:pPr>
      <w:r w:rsidRPr="00562388">
        <w:rPr>
          <w:color w:val="auto"/>
        </w:rPr>
        <w:t xml:space="preserve">The categories help to place particular types of MOOCs into the landscape of Higher Education provision thereby contextualising them and reinforcing the view that ‘multiple MOOCs’ (Hall, 2013) are emerging. Different versions of the same course might exist in different locations within the landscape. In particular, categories </w:t>
      </w:r>
      <w:r w:rsidR="00300E7D">
        <w:rPr>
          <w:color w:val="auto"/>
        </w:rPr>
        <w:t>two</w:t>
      </w:r>
      <w:r w:rsidRPr="00562388">
        <w:rPr>
          <w:color w:val="auto"/>
        </w:rPr>
        <w:t>,</w:t>
      </w:r>
      <w:r>
        <w:rPr>
          <w:color w:val="auto"/>
        </w:rPr>
        <w:t xml:space="preserve"> </w:t>
      </w:r>
      <w:r w:rsidR="00300E7D">
        <w:rPr>
          <w:color w:val="auto"/>
        </w:rPr>
        <w:t>three</w:t>
      </w:r>
      <w:r w:rsidRPr="00562388">
        <w:rPr>
          <w:color w:val="auto"/>
        </w:rPr>
        <w:t xml:space="preserve"> and </w:t>
      </w:r>
      <w:r w:rsidR="00300E7D">
        <w:rPr>
          <w:color w:val="auto"/>
        </w:rPr>
        <w:t>four</w:t>
      </w:r>
      <w:r w:rsidRPr="00562388">
        <w:rPr>
          <w:color w:val="auto"/>
        </w:rPr>
        <w:t xml:space="preserve"> MOOCs have the potential to cross boundaries between non-formal, semi-formal and formal domains. Such boundary crossing may result in a course existing in different domains for different students or changed formats for different cohorts of students. There are already examples of this happening, for instance at Harvard University </w:t>
      </w:r>
      <w:r w:rsidR="004446EB">
        <w:rPr>
          <w:color w:val="auto"/>
        </w:rPr>
        <w:t xml:space="preserve"> as reported in </w:t>
      </w:r>
      <w:r w:rsidR="004446EB" w:rsidRPr="00D61B89">
        <w:rPr>
          <w:i/>
          <w:color w:val="auto"/>
        </w:rPr>
        <w:t>The Crimson</w:t>
      </w:r>
      <w:r w:rsidR="004446EB">
        <w:rPr>
          <w:color w:val="auto"/>
        </w:rPr>
        <w:t xml:space="preserve"> </w:t>
      </w:r>
      <w:r w:rsidRPr="00562388">
        <w:rPr>
          <w:color w:val="auto"/>
        </w:rPr>
        <w:t>(</w:t>
      </w:r>
      <w:r w:rsidR="004446EB">
        <w:rPr>
          <w:color w:val="auto"/>
        </w:rPr>
        <w:t>Conway, 2013</w:t>
      </w:r>
      <w:r w:rsidRPr="00562388">
        <w:rPr>
          <w:color w:val="auto"/>
        </w:rPr>
        <w:t xml:space="preserve">), where a single course is concurrently being offered as part of a degree for regular campus-based fee-paying students and as SPOC (for a small group of online students). BBC online writer Coughlan (2013) described this approach like a “Russian dolls” nested model, and it demonstrates the creative enlisting of the MOOC model to serve an institution’s multiple agendas. </w:t>
      </w:r>
    </w:p>
    <w:p w14:paraId="14498196" w14:textId="77777777" w:rsidR="00F3571C" w:rsidRPr="00562388" w:rsidRDefault="00F3571C" w:rsidP="00F3571C">
      <w:pPr>
        <w:pStyle w:val="NoSpacing"/>
        <w:rPr>
          <w:color w:val="auto"/>
        </w:rPr>
      </w:pPr>
      <w:r w:rsidRPr="00562388">
        <w:rPr>
          <w:color w:val="auto"/>
        </w:rPr>
        <w:t xml:space="preserve"> </w:t>
      </w:r>
    </w:p>
    <w:p w14:paraId="62FD1F59" w14:textId="77777777" w:rsidR="00F3571C" w:rsidRPr="00562388" w:rsidRDefault="00405518" w:rsidP="00F3571C">
      <w:pPr>
        <w:pStyle w:val="NoSpacing"/>
        <w:rPr>
          <w:color w:val="auto"/>
        </w:rPr>
      </w:pPr>
      <w:r w:rsidRPr="00D61B89">
        <w:rPr>
          <w:rStyle w:val="CommentReference"/>
          <w:rFonts w:ascii="Times" w:hAnsi="Times"/>
          <w:sz w:val="22"/>
          <w:szCs w:val="22"/>
        </w:rPr>
        <w:t>Offering multiple versions of one course i</w:t>
      </w:r>
      <w:r w:rsidR="00F3571C" w:rsidRPr="00D61B89">
        <w:rPr>
          <w:rFonts w:ascii="Times" w:hAnsi="Times"/>
          <w:color w:val="auto"/>
        </w:rPr>
        <w:t>nvolves</w:t>
      </w:r>
      <w:r w:rsidR="00F3571C" w:rsidRPr="00562388">
        <w:rPr>
          <w:color w:val="auto"/>
        </w:rPr>
        <w:t xml:space="preserve"> using well-founded forms of distance education. Typically the tutored course changes fees and offers credit while the free offering has no tutors or any formal credit. Existing postgraduate courses offered on a block release mode, for instance, already incorporate fee-paying professionals who can audit the classes. A number of other variants exist and more are likely to be explored since the costs of attracting new students and growing wider interest are relatively low.</w:t>
      </w:r>
    </w:p>
    <w:p w14:paraId="23A87A97" w14:textId="77777777" w:rsidR="00F3571C" w:rsidRDefault="00F3571C" w:rsidP="00BA3B03">
      <w:pPr>
        <w:pStyle w:val="NoSpacing"/>
      </w:pPr>
      <w:r w:rsidRPr="00562388">
        <w:rPr>
          <w:color w:val="auto"/>
        </w:rPr>
        <w:t xml:space="preserve"> </w:t>
      </w:r>
    </w:p>
    <w:p w14:paraId="1173C3DB" w14:textId="77777777" w:rsidR="00F87614" w:rsidRPr="00562388" w:rsidRDefault="005B592A">
      <w:pPr>
        <w:pStyle w:val="Heading3"/>
        <w:widowControl w:val="0"/>
        <w:spacing w:before="280" w:after="80"/>
        <w:contextualSpacing w:val="0"/>
        <w:rPr>
          <w:rFonts w:ascii="Century Gothic" w:hAnsi="Century Gothic"/>
          <w:color w:val="auto"/>
        </w:rPr>
      </w:pPr>
      <w:bookmarkStart w:id="26" w:name="h.l1u3zgc1uhdb" w:colFirst="0" w:colLast="0"/>
      <w:bookmarkStart w:id="27" w:name="h.9g3sjs3h1mpq" w:colFirst="0" w:colLast="0"/>
      <w:bookmarkStart w:id="28" w:name="h.khcdik43xlbn" w:colFirst="0" w:colLast="0"/>
      <w:bookmarkStart w:id="29" w:name="h.5knu92wy8ofu" w:colFirst="0" w:colLast="0"/>
      <w:bookmarkStart w:id="30" w:name="h.qebno7be4yos" w:colFirst="0" w:colLast="0"/>
      <w:bookmarkStart w:id="31" w:name="h.uzjjallopf81" w:colFirst="0" w:colLast="0"/>
      <w:bookmarkStart w:id="32" w:name="h.onpiubc4259v" w:colFirst="0" w:colLast="0"/>
      <w:bookmarkStart w:id="33" w:name="h.3cu4a6gwk64o" w:colFirst="0" w:colLast="0"/>
      <w:bookmarkStart w:id="34" w:name="h.cfw0u0v44m5k" w:colFirst="0" w:colLast="0"/>
      <w:bookmarkStart w:id="35" w:name="h.abna1psq77kl" w:colFirst="0" w:colLast="0"/>
      <w:bookmarkStart w:id="36" w:name="h.xvkc8d78xht2" w:colFirst="0" w:colLast="0"/>
      <w:bookmarkStart w:id="37" w:name="h.j06x90v1l3bq" w:colFirst="0" w:colLast="0"/>
      <w:bookmarkEnd w:id="26"/>
      <w:bookmarkEnd w:id="27"/>
      <w:bookmarkEnd w:id="28"/>
      <w:bookmarkEnd w:id="29"/>
      <w:bookmarkEnd w:id="30"/>
      <w:bookmarkEnd w:id="31"/>
      <w:bookmarkEnd w:id="32"/>
      <w:bookmarkEnd w:id="33"/>
      <w:bookmarkEnd w:id="34"/>
      <w:bookmarkEnd w:id="35"/>
      <w:bookmarkEnd w:id="36"/>
      <w:bookmarkEnd w:id="37"/>
      <w:r w:rsidRPr="00562388">
        <w:rPr>
          <w:rFonts w:ascii="Century Gothic" w:hAnsi="Century Gothic"/>
          <w:color w:val="auto"/>
          <w:sz w:val="32"/>
        </w:rPr>
        <w:t>Concluding discussion</w:t>
      </w:r>
    </w:p>
    <w:p w14:paraId="212D6999" w14:textId="07C8D57C" w:rsidR="00F87614" w:rsidRPr="00562388" w:rsidRDefault="005B592A" w:rsidP="00DA2AFD">
      <w:pPr>
        <w:pStyle w:val="NoSpacing"/>
      </w:pPr>
      <w:bookmarkStart w:id="38" w:name="h.r2uuh56u7p5i" w:colFirst="0" w:colLast="0"/>
      <w:bookmarkEnd w:id="38"/>
      <w:r w:rsidRPr="00562388">
        <w:t xml:space="preserve">MOOCs provide opportunities for universities to expand and experiment with forms of online learning that may meet a number of purposes including showcasing and brand building, improving student outcomes </w:t>
      </w:r>
      <w:r w:rsidR="00004F15">
        <w:t>and</w:t>
      </w:r>
      <w:r w:rsidR="00004F15" w:rsidRPr="00562388">
        <w:t xml:space="preserve"> </w:t>
      </w:r>
      <w:r w:rsidRPr="00562388">
        <w:t>developing new models of online learning. Our analysis suggests that MOOCs are least likely to directly disrupt courses that form pathways to formal degrees given that a university's guardianship role in certifying the learning requires students to progress through the learning path in a designated manner, determining wh</w:t>
      </w:r>
      <w:r w:rsidR="0029117F">
        <w:t>ich</w:t>
      </w:r>
      <w:r w:rsidRPr="00562388">
        <w:t xml:space="preserve"> knowledge and competencies must be mastered at each stage.</w:t>
      </w:r>
    </w:p>
    <w:p w14:paraId="6638DF88" w14:textId="77777777" w:rsidR="00F87614" w:rsidRPr="00562388" w:rsidRDefault="005B592A" w:rsidP="00BE1970">
      <w:pPr>
        <w:pStyle w:val="NoSpacing"/>
        <w:rPr>
          <w:color w:val="auto"/>
        </w:rPr>
      </w:pPr>
      <w:r w:rsidRPr="00562388">
        <w:rPr>
          <w:color w:val="auto"/>
        </w:rPr>
        <w:t xml:space="preserve"> </w:t>
      </w:r>
    </w:p>
    <w:p w14:paraId="2EE45327" w14:textId="77777777" w:rsidR="00F87614" w:rsidRPr="00562388" w:rsidRDefault="005B592A" w:rsidP="00BE1970">
      <w:pPr>
        <w:pStyle w:val="NoSpacing"/>
        <w:rPr>
          <w:color w:val="auto"/>
        </w:rPr>
      </w:pPr>
      <w:r w:rsidRPr="00562388">
        <w:rPr>
          <w:color w:val="auto"/>
        </w:rPr>
        <w:t>Our categories of MOOCs, which capture a range of viable MOOC possibilities in our context, sit either in the non-formal domain where they serve to showcase the university’s brand or research, or may be operationalized in the semi-formal domain, where they would be offered in a variety of forms from a freely accessible model to forms that encompass alternative ways of offering non-degree certification. There is a clear implication of the value of experimenting in these domains, while largely protecting the courses that lead to degrees in the formal domain where failure or risk is less tolerable.</w:t>
      </w:r>
    </w:p>
    <w:p w14:paraId="0856C47B" w14:textId="77777777" w:rsidR="00F87614" w:rsidRPr="00562388" w:rsidRDefault="005B592A" w:rsidP="00BE1970">
      <w:pPr>
        <w:pStyle w:val="NoSpacing"/>
        <w:rPr>
          <w:color w:val="auto"/>
        </w:rPr>
      </w:pPr>
      <w:r w:rsidRPr="00562388">
        <w:rPr>
          <w:color w:val="auto"/>
        </w:rPr>
        <w:t xml:space="preserve"> </w:t>
      </w:r>
    </w:p>
    <w:p w14:paraId="03BC56D6" w14:textId="59DA93DC" w:rsidR="00F87614" w:rsidRPr="00562388" w:rsidRDefault="005B592A" w:rsidP="00BE1970">
      <w:pPr>
        <w:pStyle w:val="NoSpacing"/>
        <w:rPr>
          <w:color w:val="auto"/>
        </w:rPr>
      </w:pPr>
      <w:r w:rsidRPr="00562388">
        <w:rPr>
          <w:color w:val="auto"/>
        </w:rPr>
        <w:t>Discourses around MOOCs conflate formal online learning with MOOCs but the formal certified degree programmes using flexible formats are still credit bearing and in that sense formal. Certainly</w:t>
      </w:r>
      <w:r w:rsidR="00656A1A">
        <w:rPr>
          <w:color w:val="auto"/>
        </w:rPr>
        <w:t>,</w:t>
      </w:r>
      <w:r w:rsidRPr="00562388">
        <w:rPr>
          <w:color w:val="auto"/>
        </w:rPr>
        <w:t xml:space="preserve"> pedagogical innovation does arise inside the traditional boundaries of formal education and we have cited examples (</w:t>
      </w:r>
      <w:r w:rsidR="007E07AB">
        <w:rPr>
          <w:color w:val="auto"/>
        </w:rPr>
        <w:t>for example,</w:t>
      </w:r>
      <w:r w:rsidR="007E07AB" w:rsidRPr="00562388">
        <w:rPr>
          <w:color w:val="auto"/>
        </w:rPr>
        <w:t xml:space="preserve"> </w:t>
      </w:r>
      <w:r w:rsidRPr="00562388">
        <w:rPr>
          <w:color w:val="auto"/>
        </w:rPr>
        <w:t>SPOCs alongside regular university credit bearing courses), but it bears remembering that for the students</w:t>
      </w:r>
      <w:r w:rsidR="00656A1A">
        <w:rPr>
          <w:color w:val="auto"/>
        </w:rPr>
        <w:t>,</w:t>
      </w:r>
      <w:r w:rsidRPr="00562388">
        <w:rPr>
          <w:color w:val="auto"/>
        </w:rPr>
        <w:t xml:space="preserve"> there are still limits to transferability across the formal education domain. So, as the landscape changes, the pieces of the educational puzzle </w:t>
      </w:r>
      <w:r w:rsidR="00656A1A">
        <w:rPr>
          <w:color w:val="auto"/>
        </w:rPr>
        <w:t>may be</w:t>
      </w:r>
      <w:r w:rsidR="00656A1A" w:rsidRPr="00562388">
        <w:rPr>
          <w:color w:val="auto"/>
        </w:rPr>
        <w:t xml:space="preserve"> </w:t>
      </w:r>
      <w:r w:rsidRPr="00562388">
        <w:rPr>
          <w:color w:val="auto"/>
        </w:rPr>
        <w:t>constituted and reconstituted.</w:t>
      </w:r>
    </w:p>
    <w:p w14:paraId="6B5C1366" w14:textId="77777777" w:rsidR="00F87614" w:rsidRPr="00562388" w:rsidRDefault="00F87614" w:rsidP="00BE1970">
      <w:pPr>
        <w:pStyle w:val="NoSpacing"/>
        <w:rPr>
          <w:color w:val="auto"/>
        </w:rPr>
      </w:pPr>
    </w:p>
    <w:p w14:paraId="46613115" w14:textId="74B4C015" w:rsidR="00F87614" w:rsidRPr="00562388" w:rsidRDefault="005B592A" w:rsidP="00BE1970">
      <w:pPr>
        <w:pStyle w:val="NoSpacing"/>
        <w:rPr>
          <w:color w:val="auto"/>
        </w:rPr>
      </w:pPr>
      <w:r w:rsidRPr="00562388">
        <w:rPr>
          <w:color w:val="auto"/>
        </w:rPr>
        <w:t>By providing a way of thinking and engaging with MOOCs through a mental model of a landscape of Higher Education course provision that locates particular types of courses in domains that are either formal, semi-formal or non-formal and by providing a categorisation of MOOC types delineated according to purpose, we have</w:t>
      </w:r>
      <w:r w:rsidR="00787A23">
        <w:rPr>
          <w:color w:val="auto"/>
        </w:rPr>
        <w:t xml:space="preserve"> provided a lens to serve as a </w:t>
      </w:r>
      <w:r w:rsidRPr="00562388">
        <w:rPr>
          <w:color w:val="auto"/>
        </w:rPr>
        <w:t>counterpoint to the simplistic hype and noise of public and media discourses. By untangling purpose, audience and educational potential, we are locating ourselves firmly in the “many MOOCs” camp, which as Hall (2014) notes ‘counterbalances the somewhat neo</w:t>
      </w:r>
      <w:r w:rsidR="003412BE">
        <w:rPr>
          <w:color w:val="auto"/>
        </w:rPr>
        <w:t>-</w:t>
      </w:r>
      <w:r w:rsidRPr="00562388">
        <w:rPr>
          <w:color w:val="auto"/>
        </w:rPr>
        <w:t>colonial approach of Coursera and the big xMOOC platforms”, showing that there is not just one global way for future learning.</w:t>
      </w:r>
      <w:r w:rsidR="00412FFE">
        <w:rPr>
          <w:color w:val="auto"/>
        </w:rPr>
        <w:t xml:space="preserve"> As demonstrated in this paper, used purposefully, MOOCs can serve local agendas and support </w:t>
      </w:r>
      <w:r w:rsidR="00D4133D">
        <w:rPr>
          <w:color w:val="auto"/>
        </w:rPr>
        <w:t>context-</w:t>
      </w:r>
      <w:r w:rsidR="003412BE">
        <w:rPr>
          <w:color w:val="auto"/>
        </w:rPr>
        <w:t>specific</w:t>
      </w:r>
      <w:r w:rsidR="00412FFE">
        <w:rPr>
          <w:color w:val="auto"/>
        </w:rPr>
        <w:t xml:space="preserve"> educational missions. </w:t>
      </w:r>
    </w:p>
    <w:p w14:paraId="19A4C461" w14:textId="77777777" w:rsidR="00F87614" w:rsidRPr="00562388" w:rsidRDefault="005B592A" w:rsidP="00BE1970">
      <w:pPr>
        <w:pStyle w:val="NoSpacing"/>
        <w:rPr>
          <w:color w:val="auto"/>
        </w:rPr>
      </w:pPr>
      <w:r w:rsidRPr="00562388">
        <w:rPr>
          <w:color w:val="auto"/>
        </w:rPr>
        <w:t xml:space="preserve"> </w:t>
      </w:r>
    </w:p>
    <w:p w14:paraId="610E773B" w14:textId="77777777" w:rsidR="00F87614" w:rsidRPr="00562388" w:rsidRDefault="005B592A" w:rsidP="00BE1970">
      <w:pPr>
        <w:pStyle w:val="NoSpacing"/>
        <w:rPr>
          <w:color w:val="auto"/>
        </w:rPr>
      </w:pPr>
      <w:r w:rsidRPr="00562388">
        <w:rPr>
          <w:color w:val="auto"/>
        </w:rPr>
        <w:t>MOOCs and MOOC</w:t>
      </w:r>
      <w:r w:rsidR="00656A1A">
        <w:rPr>
          <w:color w:val="auto"/>
        </w:rPr>
        <w:t>-</w:t>
      </w:r>
      <w:r w:rsidRPr="00562388">
        <w:rPr>
          <w:color w:val="auto"/>
        </w:rPr>
        <w:t>type courses have added a</w:t>
      </w:r>
      <w:r w:rsidR="00656A1A">
        <w:rPr>
          <w:color w:val="auto"/>
        </w:rPr>
        <w:t xml:space="preserve"> new </w:t>
      </w:r>
      <w:r w:rsidRPr="00562388">
        <w:rPr>
          <w:color w:val="auto"/>
        </w:rPr>
        <w:t>dimension to the educational landscape by strengthening the non-formal educational space and by providing opportunities to experiment with the disaggregated components of the educational experience. While no</w:t>
      </w:r>
      <w:r w:rsidR="00656A1A">
        <w:rPr>
          <w:color w:val="auto"/>
        </w:rPr>
        <w:t xml:space="preserve"> </w:t>
      </w:r>
      <w:r w:rsidRPr="00562388">
        <w:rPr>
          <w:color w:val="auto"/>
        </w:rPr>
        <w:t>one can predict what effect the broadened forms of provision will have on the landscape as a whole, it is clear that there is</w:t>
      </w:r>
      <w:r w:rsidR="00656A1A">
        <w:rPr>
          <w:color w:val="auto"/>
        </w:rPr>
        <w:t>n’t</w:t>
      </w:r>
      <w:r w:rsidRPr="00562388">
        <w:rPr>
          <w:color w:val="auto"/>
        </w:rPr>
        <w:t xml:space="preserve"> </w:t>
      </w:r>
      <w:r w:rsidR="00656A1A">
        <w:rPr>
          <w:color w:val="auto"/>
        </w:rPr>
        <w:t>–</w:t>
      </w:r>
      <w:r w:rsidRPr="00562388">
        <w:rPr>
          <w:color w:val="auto"/>
        </w:rPr>
        <w:t xml:space="preserve"> nor will there be </w:t>
      </w:r>
      <w:r w:rsidR="00656A1A">
        <w:rPr>
          <w:color w:val="auto"/>
        </w:rPr>
        <w:t>–</w:t>
      </w:r>
      <w:r w:rsidRPr="00562388">
        <w:rPr>
          <w:color w:val="auto"/>
        </w:rPr>
        <w:t xml:space="preserve"> </w:t>
      </w:r>
      <w:r w:rsidR="00656A1A">
        <w:rPr>
          <w:color w:val="auto"/>
        </w:rPr>
        <w:t>any</w:t>
      </w:r>
      <w:r w:rsidRPr="00562388">
        <w:rPr>
          <w:color w:val="auto"/>
        </w:rPr>
        <w:t xml:space="preserve"> single one MOOC form or function. We hope to </w:t>
      </w:r>
      <w:r w:rsidR="00656A1A">
        <w:rPr>
          <w:color w:val="auto"/>
        </w:rPr>
        <w:t xml:space="preserve">have </w:t>
      </w:r>
      <w:r w:rsidRPr="00562388">
        <w:rPr>
          <w:color w:val="auto"/>
        </w:rPr>
        <w:t>contribute</w:t>
      </w:r>
      <w:r w:rsidR="00656A1A">
        <w:rPr>
          <w:color w:val="auto"/>
        </w:rPr>
        <w:t>d</w:t>
      </w:r>
      <w:r w:rsidRPr="00562388">
        <w:rPr>
          <w:color w:val="auto"/>
        </w:rPr>
        <w:t xml:space="preserve"> a more nuanced way of understanding MOOCs and MOOC type courses in order for educators to strategically prioritise and decision makers to support the full gamut of emergent opportunities. Untangling the complexities may be a small contribution towards ensuring that the needs of disadvantaged learners are met and that the interests of developing countries become forces in the global educational online arena.</w:t>
      </w:r>
    </w:p>
    <w:p w14:paraId="030102E8" w14:textId="77777777" w:rsidR="00F87614" w:rsidRPr="00562388" w:rsidRDefault="00CF17FB">
      <w:pPr>
        <w:pStyle w:val="Heading1"/>
        <w:widowControl w:val="0"/>
        <w:spacing w:before="480" w:after="120"/>
        <w:contextualSpacing w:val="0"/>
        <w:rPr>
          <w:rFonts w:ascii="Century Gothic" w:hAnsi="Century Gothic"/>
          <w:color w:val="auto"/>
          <w:szCs w:val="32"/>
        </w:rPr>
      </w:pPr>
      <w:bookmarkStart w:id="39" w:name="h.6iocrds0m2bk" w:colFirst="0" w:colLast="0"/>
      <w:bookmarkStart w:id="40" w:name="h.hbryshlu3mye" w:colFirst="0" w:colLast="0"/>
      <w:bookmarkEnd w:id="39"/>
      <w:bookmarkEnd w:id="40"/>
      <w:r w:rsidRPr="00562388">
        <w:rPr>
          <w:rFonts w:ascii="Century Gothic" w:hAnsi="Century Gothic"/>
          <w:b/>
          <w:color w:val="auto"/>
          <w:szCs w:val="32"/>
        </w:rPr>
        <w:t>Reference</w:t>
      </w:r>
      <w:r w:rsidR="00281F48">
        <w:rPr>
          <w:rFonts w:ascii="Century Gothic" w:hAnsi="Century Gothic"/>
          <w:b/>
          <w:color w:val="auto"/>
          <w:szCs w:val="32"/>
        </w:rPr>
        <w:t>s</w:t>
      </w:r>
    </w:p>
    <w:p w14:paraId="58D9240B" w14:textId="77777777" w:rsidR="001153C6" w:rsidRPr="003412BE" w:rsidRDefault="005B592A" w:rsidP="0079042B">
      <w:pPr>
        <w:widowControl w:val="0"/>
        <w:spacing w:line="240" w:lineRule="auto"/>
        <w:ind w:left="851" w:hanging="851"/>
        <w:rPr>
          <w:rFonts w:ascii="Times New Roman" w:hAnsi="Times New Roman" w:cs="Times New Roman"/>
          <w:color w:val="auto"/>
        </w:rPr>
      </w:pPr>
      <w:r w:rsidRPr="003412BE">
        <w:rPr>
          <w:rFonts w:ascii="Times New Roman" w:hAnsi="Times New Roman" w:cs="Times New Roman"/>
          <w:color w:val="auto"/>
        </w:rPr>
        <w:t>Altbach, P</w:t>
      </w:r>
      <w:r w:rsidR="00CF17FB" w:rsidRPr="003412BE">
        <w:rPr>
          <w:rFonts w:ascii="Times New Roman" w:hAnsi="Times New Roman" w:cs="Times New Roman"/>
          <w:color w:val="auto"/>
        </w:rPr>
        <w:t>.</w:t>
      </w:r>
      <w:r w:rsidRPr="003412BE">
        <w:rPr>
          <w:rFonts w:ascii="Times New Roman" w:hAnsi="Times New Roman" w:cs="Times New Roman"/>
          <w:color w:val="auto"/>
        </w:rPr>
        <w:t xml:space="preserve"> (2011). The </w:t>
      </w:r>
      <w:r w:rsidR="002A4DDA" w:rsidRPr="003412BE">
        <w:rPr>
          <w:rFonts w:ascii="Times New Roman" w:hAnsi="Times New Roman" w:cs="Times New Roman"/>
          <w:color w:val="auto"/>
        </w:rPr>
        <w:t>p</w:t>
      </w:r>
      <w:r w:rsidRPr="003412BE">
        <w:rPr>
          <w:rFonts w:ascii="Times New Roman" w:hAnsi="Times New Roman" w:cs="Times New Roman"/>
          <w:color w:val="auto"/>
        </w:rPr>
        <w:t xml:space="preserve">ast, </w:t>
      </w:r>
      <w:r w:rsidR="00CF17FB" w:rsidRPr="003412BE">
        <w:rPr>
          <w:rFonts w:ascii="Times New Roman" w:hAnsi="Times New Roman" w:cs="Times New Roman"/>
          <w:color w:val="auto"/>
        </w:rPr>
        <w:t>p</w:t>
      </w:r>
      <w:r w:rsidRPr="003412BE">
        <w:rPr>
          <w:rFonts w:ascii="Times New Roman" w:hAnsi="Times New Roman" w:cs="Times New Roman"/>
          <w:color w:val="auto"/>
        </w:rPr>
        <w:t xml:space="preserve">resent, and </w:t>
      </w:r>
      <w:r w:rsidR="00CF17FB" w:rsidRPr="003412BE">
        <w:rPr>
          <w:rFonts w:ascii="Times New Roman" w:hAnsi="Times New Roman" w:cs="Times New Roman"/>
          <w:color w:val="auto"/>
        </w:rPr>
        <w:t>f</w:t>
      </w:r>
      <w:r w:rsidRPr="003412BE">
        <w:rPr>
          <w:rFonts w:ascii="Times New Roman" w:hAnsi="Times New Roman" w:cs="Times New Roman"/>
          <w:color w:val="auto"/>
        </w:rPr>
        <w:t xml:space="preserve">uture of the </w:t>
      </w:r>
      <w:r w:rsidR="00CF17FB" w:rsidRPr="003412BE">
        <w:rPr>
          <w:rFonts w:ascii="Times New Roman" w:hAnsi="Times New Roman" w:cs="Times New Roman"/>
          <w:color w:val="auto"/>
        </w:rPr>
        <w:t>r</w:t>
      </w:r>
      <w:r w:rsidRPr="003412BE">
        <w:rPr>
          <w:rFonts w:ascii="Times New Roman" w:hAnsi="Times New Roman" w:cs="Times New Roman"/>
          <w:color w:val="auto"/>
        </w:rPr>
        <w:t xml:space="preserve">esearch </w:t>
      </w:r>
      <w:r w:rsidR="00CF17FB" w:rsidRPr="003412BE">
        <w:rPr>
          <w:rFonts w:ascii="Times New Roman" w:hAnsi="Times New Roman" w:cs="Times New Roman"/>
          <w:color w:val="auto"/>
        </w:rPr>
        <w:t>u</w:t>
      </w:r>
      <w:r w:rsidRPr="003412BE">
        <w:rPr>
          <w:rFonts w:ascii="Times New Roman" w:hAnsi="Times New Roman" w:cs="Times New Roman"/>
          <w:color w:val="auto"/>
        </w:rPr>
        <w:t>niversity</w:t>
      </w:r>
      <w:r w:rsidR="00CF17FB" w:rsidRPr="003412BE">
        <w:rPr>
          <w:rFonts w:ascii="Times New Roman" w:hAnsi="Times New Roman" w:cs="Times New Roman"/>
          <w:color w:val="auto"/>
        </w:rPr>
        <w:t>. In P.</w:t>
      </w:r>
      <w:r w:rsidRPr="003412BE">
        <w:rPr>
          <w:rFonts w:ascii="Times New Roman" w:hAnsi="Times New Roman" w:cs="Times New Roman"/>
          <w:color w:val="auto"/>
        </w:rPr>
        <w:t xml:space="preserve">Altbach and </w:t>
      </w:r>
      <w:r w:rsidR="00CF17FB" w:rsidRPr="003412BE">
        <w:rPr>
          <w:rFonts w:ascii="Times New Roman" w:hAnsi="Times New Roman" w:cs="Times New Roman"/>
          <w:color w:val="auto"/>
        </w:rPr>
        <w:t xml:space="preserve">J. </w:t>
      </w:r>
      <w:r w:rsidRPr="003412BE">
        <w:rPr>
          <w:rFonts w:ascii="Times New Roman" w:hAnsi="Times New Roman" w:cs="Times New Roman"/>
          <w:color w:val="auto"/>
        </w:rPr>
        <w:t>Salmi,(Eds</w:t>
      </w:r>
      <w:r w:rsidR="00656A1A" w:rsidRPr="003412BE">
        <w:rPr>
          <w:rFonts w:ascii="Times New Roman" w:hAnsi="Times New Roman" w:cs="Times New Roman"/>
          <w:color w:val="auto"/>
        </w:rPr>
        <w:t>.</w:t>
      </w:r>
      <w:r w:rsidRPr="003412BE">
        <w:rPr>
          <w:rFonts w:ascii="Times New Roman" w:hAnsi="Times New Roman" w:cs="Times New Roman"/>
          <w:color w:val="auto"/>
        </w:rPr>
        <w:t>)</w:t>
      </w:r>
      <w:r w:rsidR="002A4DDA" w:rsidRPr="003412BE">
        <w:rPr>
          <w:rFonts w:ascii="Times New Roman" w:hAnsi="Times New Roman" w:cs="Times New Roman"/>
          <w:color w:val="auto"/>
        </w:rPr>
        <w:t xml:space="preserve">, </w:t>
      </w:r>
      <w:r w:rsidRPr="003412BE">
        <w:rPr>
          <w:rFonts w:ascii="Times New Roman" w:hAnsi="Times New Roman" w:cs="Times New Roman"/>
          <w:i/>
          <w:color w:val="auto"/>
        </w:rPr>
        <w:t xml:space="preserve">The </w:t>
      </w:r>
      <w:r w:rsidR="002A4DDA" w:rsidRPr="003412BE">
        <w:rPr>
          <w:rFonts w:ascii="Times New Roman" w:hAnsi="Times New Roman" w:cs="Times New Roman"/>
          <w:i/>
          <w:color w:val="auto"/>
        </w:rPr>
        <w:t>m</w:t>
      </w:r>
      <w:r w:rsidRPr="003412BE">
        <w:rPr>
          <w:rFonts w:ascii="Times New Roman" w:hAnsi="Times New Roman" w:cs="Times New Roman"/>
          <w:i/>
          <w:color w:val="auto"/>
        </w:rPr>
        <w:t xml:space="preserve">aking of </w:t>
      </w:r>
      <w:r w:rsidR="002A4DDA" w:rsidRPr="003412BE">
        <w:rPr>
          <w:rFonts w:ascii="Times New Roman" w:hAnsi="Times New Roman" w:cs="Times New Roman"/>
          <w:i/>
          <w:color w:val="auto"/>
        </w:rPr>
        <w:t>w</w:t>
      </w:r>
      <w:r w:rsidRPr="003412BE">
        <w:rPr>
          <w:rFonts w:ascii="Times New Roman" w:hAnsi="Times New Roman" w:cs="Times New Roman"/>
          <w:i/>
          <w:color w:val="auto"/>
        </w:rPr>
        <w:t>orld-</w:t>
      </w:r>
      <w:r w:rsidR="002A4DDA" w:rsidRPr="003412BE">
        <w:rPr>
          <w:rFonts w:ascii="Times New Roman" w:hAnsi="Times New Roman" w:cs="Times New Roman"/>
          <w:i/>
          <w:color w:val="auto"/>
        </w:rPr>
        <w:t>c</w:t>
      </w:r>
      <w:r w:rsidRPr="003412BE">
        <w:rPr>
          <w:rFonts w:ascii="Times New Roman" w:hAnsi="Times New Roman" w:cs="Times New Roman"/>
          <w:i/>
          <w:color w:val="auto"/>
        </w:rPr>
        <w:t xml:space="preserve">lass </w:t>
      </w:r>
      <w:r w:rsidR="002A4DDA" w:rsidRPr="003412BE">
        <w:rPr>
          <w:rFonts w:ascii="Times New Roman" w:hAnsi="Times New Roman" w:cs="Times New Roman"/>
          <w:i/>
          <w:color w:val="auto"/>
        </w:rPr>
        <w:t>r</w:t>
      </w:r>
      <w:r w:rsidRPr="003412BE">
        <w:rPr>
          <w:rFonts w:ascii="Times New Roman" w:hAnsi="Times New Roman" w:cs="Times New Roman"/>
          <w:i/>
          <w:color w:val="auto"/>
        </w:rPr>
        <w:t xml:space="preserve">esearch </w:t>
      </w:r>
      <w:r w:rsidR="002A4DDA" w:rsidRPr="003412BE">
        <w:rPr>
          <w:rFonts w:ascii="Times New Roman" w:hAnsi="Times New Roman" w:cs="Times New Roman"/>
          <w:i/>
          <w:color w:val="auto"/>
        </w:rPr>
        <w:t>u</w:t>
      </w:r>
      <w:r w:rsidRPr="003412BE">
        <w:rPr>
          <w:rFonts w:ascii="Times New Roman" w:hAnsi="Times New Roman" w:cs="Times New Roman"/>
          <w:i/>
          <w:color w:val="auto"/>
        </w:rPr>
        <w:t>niversities</w:t>
      </w:r>
      <w:r w:rsidR="002A4DDA" w:rsidRPr="003412BE">
        <w:rPr>
          <w:rFonts w:ascii="Times New Roman" w:hAnsi="Times New Roman" w:cs="Times New Roman"/>
          <w:i/>
          <w:color w:val="auto"/>
        </w:rPr>
        <w:t xml:space="preserve"> </w:t>
      </w:r>
      <w:r w:rsidRPr="003412BE">
        <w:rPr>
          <w:rFonts w:ascii="Times New Roman" w:hAnsi="Times New Roman" w:cs="Times New Roman"/>
          <w:i/>
          <w:color w:val="auto"/>
        </w:rPr>
        <w:t xml:space="preserve">- The </w:t>
      </w:r>
      <w:r w:rsidR="00C748FF" w:rsidRPr="003412BE">
        <w:rPr>
          <w:rFonts w:ascii="Times New Roman" w:hAnsi="Times New Roman" w:cs="Times New Roman"/>
          <w:i/>
          <w:color w:val="auto"/>
        </w:rPr>
        <w:t>r</w:t>
      </w:r>
      <w:r w:rsidRPr="003412BE">
        <w:rPr>
          <w:rFonts w:ascii="Times New Roman" w:hAnsi="Times New Roman" w:cs="Times New Roman"/>
          <w:i/>
          <w:color w:val="auto"/>
        </w:rPr>
        <w:t xml:space="preserve">oad to </w:t>
      </w:r>
      <w:r w:rsidR="00C748FF" w:rsidRPr="003412BE">
        <w:rPr>
          <w:rFonts w:ascii="Times New Roman" w:hAnsi="Times New Roman" w:cs="Times New Roman"/>
          <w:i/>
          <w:color w:val="auto"/>
        </w:rPr>
        <w:t>a</w:t>
      </w:r>
      <w:r w:rsidRPr="003412BE">
        <w:rPr>
          <w:rFonts w:ascii="Times New Roman" w:hAnsi="Times New Roman" w:cs="Times New Roman"/>
          <w:i/>
          <w:color w:val="auto"/>
        </w:rPr>
        <w:t xml:space="preserve">cademic </w:t>
      </w:r>
      <w:r w:rsidR="00C748FF" w:rsidRPr="003412BE">
        <w:rPr>
          <w:rFonts w:ascii="Times New Roman" w:hAnsi="Times New Roman" w:cs="Times New Roman"/>
          <w:i/>
          <w:color w:val="auto"/>
        </w:rPr>
        <w:t>e</w:t>
      </w:r>
      <w:r w:rsidRPr="003412BE">
        <w:rPr>
          <w:rFonts w:ascii="Times New Roman" w:hAnsi="Times New Roman" w:cs="Times New Roman"/>
          <w:i/>
          <w:color w:val="auto"/>
        </w:rPr>
        <w:t>xcellence</w:t>
      </w:r>
      <w:r w:rsidRPr="003412BE">
        <w:rPr>
          <w:rFonts w:ascii="Times New Roman" w:hAnsi="Times New Roman" w:cs="Times New Roman"/>
          <w:color w:val="auto"/>
        </w:rPr>
        <w:t>,</w:t>
      </w:r>
      <w:r w:rsidR="002A4DDA" w:rsidRPr="003412BE">
        <w:rPr>
          <w:rFonts w:ascii="Times New Roman" w:hAnsi="Times New Roman" w:cs="Times New Roman"/>
          <w:color w:val="auto"/>
        </w:rPr>
        <w:t xml:space="preserve"> (</w:t>
      </w:r>
      <w:r w:rsidR="00CB65BF" w:rsidRPr="003412BE">
        <w:rPr>
          <w:rFonts w:ascii="Times New Roman" w:hAnsi="Times New Roman" w:cs="Times New Roman"/>
          <w:color w:val="auto"/>
        </w:rPr>
        <w:t>pp.11-33</w:t>
      </w:r>
      <w:r w:rsidR="002A4DDA" w:rsidRPr="003412BE">
        <w:rPr>
          <w:rFonts w:ascii="Times New Roman" w:hAnsi="Times New Roman" w:cs="Times New Roman"/>
          <w:color w:val="auto"/>
        </w:rPr>
        <w:t>)</w:t>
      </w:r>
      <w:r w:rsidRPr="003412BE">
        <w:rPr>
          <w:rFonts w:ascii="Times New Roman" w:hAnsi="Times New Roman" w:cs="Times New Roman"/>
          <w:color w:val="auto"/>
        </w:rPr>
        <w:t xml:space="preserve"> </w:t>
      </w:r>
      <w:r w:rsidR="002A4DDA" w:rsidRPr="003412BE">
        <w:rPr>
          <w:rFonts w:ascii="Times New Roman" w:hAnsi="Times New Roman" w:cs="Times New Roman"/>
          <w:color w:val="auto"/>
        </w:rPr>
        <w:t xml:space="preserve">. </w:t>
      </w:r>
      <w:r w:rsidR="006B1899" w:rsidRPr="003412BE">
        <w:rPr>
          <w:rFonts w:ascii="Times New Roman" w:hAnsi="Times New Roman" w:cs="Times New Roman"/>
          <w:color w:val="auto"/>
        </w:rPr>
        <w:t>Washington, DC</w:t>
      </w:r>
      <w:r w:rsidR="002A4DDA" w:rsidRPr="003412BE">
        <w:rPr>
          <w:rFonts w:ascii="Times New Roman" w:hAnsi="Times New Roman" w:cs="Times New Roman"/>
          <w:color w:val="auto"/>
        </w:rPr>
        <w:t>:</w:t>
      </w:r>
      <w:r w:rsidRPr="003412BE">
        <w:rPr>
          <w:rFonts w:ascii="Times New Roman" w:hAnsi="Times New Roman" w:cs="Times New Roman"/>
          <w:color w:val="auto"/>
        </w:rPr>
        <w:t>The World Bank</w:t>
      </w:r>
      <w:r w:rsidR="00656A1A" w:rsidRPr="003412BE">
        <w:rPr>
          <w:rFonts w:ascii="Times New Roman" w:hAnsi="Times New Roman" w:cs="Times New Roman"/>
          <w:color w:val="auto"/>
        </w:rPr>
        <w:t>.</w:t>
      </w:r>
      <w:r w:rsidRPr="003412BE">
        <w:rPr>
          <w:rFonts w:ascii="Times New Roman" w:hAnsi="Times New Roman" w:cs="Times New Roman"/>
          <w:color w:val="auto"/>
        </w:rPr>
        <w:t xml:space="preserve"> </w:t>
      </w:r>
      <w:r w:rsidR="007F47EF" w:rsidRPr="003412BE">
        <w:rPr>
          <w:rFonts w:ascii="Times New Roman" w:hAnsi="Times New Roman" w:cs="Times New Roman"/>
          <w:color w:val="auto"/>
        </w:rPr>
        <w:t xml:space="preserve">Retrieved from </w:t>
      </w:r>
      <w:r w:rsidR="00D3296E" w:rsidRPr="003412BE">
        <w:rPr>
          <w:rFonts w:ascii="Times New Roman" w:hAnsi="Times New Roman" w:cs="Times New Roman"/>
          <w:color w:val="auto"/>
          <w:u w:val="single"/>
        </w:rPr>
        <w:t>http://www.bc.edu/content/dam/files/research_sites/cihe/pubs/Altbach_Salmi_2011_The_Road_to_Academic_Excellence.pdf</w:t>
      </w:r>
    </w:p>
    <w:p w14:paraId="1D48A8D2" w14:textId="0B0698DD" w:rsidR="001153C6" w:rsidRPr="003412BE" w:rsidRDefault="001153C6" w:rsidP="0079042B">
      <w:pPr>
        <w:widowControl w:val="0"/>
        <w:spacing w:line="240" w:lineRule="auto"/>
        <w:ind w:left="851" w:hanging="851"/>
        <w:rPr>
          <w:rFonts w:ascii="Times New Roman" w:hAnsi="Times New Roman" w:cs="Times New Roman"/>
          <w:color w:val="auto"/>
        </w:rPr>
      </w:pPr>
      <w:r w:rsidRPr="003412BE">
        <w:rPr>
          <w:rFonts w:ascii="Times New Roman" w:hAnsi="Times New Roman" w:cs="Times New Roman"/>
          <w:color w:val="auto"/>
        </w:rPr>
        <w:t>Altbach, P. (2013, December 4)</w:t>
      </w:r>
      <w:r w:rsidR="00EA2C42" w:rsidRPr="003412BE">
        <w:rPr>
          <w:rFonts w:ascii="Times New Roman" w:hAnsi="Times New Roman" w:cs="Times New Roman"/>
          <w:color w:val="auto"/>
        </w:rPr>
        <w:t>.</w:t>
      </w:r>
      <w:r w:rsidR="00672590" w:rsidRPr="003412BE">
        <w:rPr>
          <w:rFonts w:ascii="Times New Roman" w:hAnsi="Times New Roman" w:cs="Times New Roman"/>
          <w:color w:val="auto"/>
        </w:rPr>
        <w:t xml:space="preserve"> </w:t>
      </w:r>
      <w:r w:rsidR="00C748FF" w:rsidRPr="003412BE">
        <w:rPr>
          <w:rFonts w:ascii="Times New Roman" w:eastAsiaTheme="minorEastAsia" w:hAnsi="Times New Roman" w:cs="Times New Roman"/>
          <w:color w:val="304053"/>
          <w:lang w:val="en-US"/>
        </w:rPr>
        <w:t>MOOCs as n</w:t>
      </w:r>
      <w:r w:rsidRPr="003412BE">
        <w:rPr>
          <w:rFonts w:ascii="Times New Roman" w:eastAsiaTheme="minorEastAsia" w:hAnsi="Times New Roman" w:cs="Times New Roman"/>
          <w:color w:val="304053"/>
          <w:lang w:val="en-US"/>
        </w:rPr>
        <w:t xml:space="preserve">eocolonialism: Who </w:t>
      </w:r>
      <w:r w:rsidR="00C748FF" w:rsidRPr="003412BE">
        <w:rPr>
          <w:rFonts w:ascii="Times New Roman" w:eastAsiaTheme="minorEastAsia" w:hAnsi="Times New Roman" w:cs="Times New Roman"/>
          <w:color w:val="304053"/>
          <w:lang w:val="en-US"/>
        </w:rPr>
        <w:t>controls k</w:t>
      </w:r>
      <w:r w:rsidRPr="003412BE">
        <w:rPr>
          <w:rFonts w:ascii="Times New Roman" w:eastAsiaTheme="minorEastAsia" w:hAnsi="Times New Roman" w:cs="Times New Roman"/>
          <w:color w:val="304053"/>
          <w:lang w:val="en-US"/>
        </w:rPr>
        <w:t>nowledge?  [</w:t>
      </w:r>
      <w:r w:rsidR="00B60F86" w:rsidRPr="003412BE">
        <w:rPr>
          <w:rFonts w:ascii="Times New Roman" w:eastAsiaTheme="minorEastAsia" w:hAnsi="Times New Roman" w:cs="Times New Roman"/>
          <w:color w:val="304053"/>
          <w:lang w:val="en-US"/>
        </w:rPr>
        <w:t>Web log</w:t>
      </w:r>
      <w:r w:rsidRPr="003412BE">
        <w:rPr>
          <w:rFonts w:ascii="Times New Roman" w:eastAsiaTheme="minorEastAsia" w:hAnsi="Times New Roman" w:cs="Times New Roman"/>
          <w:color w:val="304053"/>
          <w:lang w:val="en-US"/>
        </w:rPr>
        <w:t xml:space="preserve">] Retrieved from </w:t>
      </w:r>
      <w:r w:rsidRPr="003412BE">
        <w:rPr>
          <w:rFonts w:ascii="Times New Roman" w:hAnsi="Times New Roman" w:cs="Times New Roman"/>
          <w:u w:val="single"/>
        </w:rPr>
        <w:t>http://chronicle.com/blogs/worldwise/moocs-as-neocolonialism-who-controls-knowledge/33431</w:t>
      </w:r>
    </w:p>
    <w:p w14:paraId="07813D36" w14:textId="77777777" w:rsidR="00F87614" w:rsidRPr="003412BE" w:rsidRDefault="005B592A" w:rsidP="0079042B">
      <w:pPr>
        <w:pStyle w:val="NoSpacing"/>
        <w:spacing w:before="20" w:after="60"/>
        <w:ind w:left="851" w:hanging="851"/>
        <w:rPr>
          <w:rFonts w:cs="Times New Roman"/>
          <w:color w:val="auto"/>
        </w:rPr>
      </w:pPr>
      <w:r w:rsidRPr="003412BE">
        <w:rPr>
          <w:rFonts w:cs="Times New Roman"/>
          <w:color w:val="auto"/>
        </w:rPr>
        <w:t xml:space="preserve">Baggaley, J. (2013). MOOC rampant. </w:t>
      </w:r>
      <w:r w:rsidRPr="003412BE">
        <w:rPr>
          <w:rFonts w:cs="Times New Roman"/>
          <w:i/>
          <w:color w:val="auto"/>
        </w:rPr>
        <w:t>Distance Education</w:t>
      </w:r>
      <w:r w:rsidRPr="003412BE">
        <w:rPr>
          <w:rFonts w:cs="Times New Roman"/>
          <w:color w:val="auto"/>
        </w:rPr>
        <w:t xml:space="preserve">, 34(3):368–378. </w:t>
      </w:r>
    </w:p>
    <w:p w14:paraId="0415E795" w14:textId="1BAC3373" w:rsidR="00DF73E1" w:rsidRPr="003412BE" w:rsidRDefault="00CF1A11" w:rsidP="00D4133D">
      <w:pPr>
        <w:ind w:left="851" w:hanging="851"/>
        <w:rPr>
          <w:rFonts w:ascii="Times New Roman" w:hAnsi="Times New Roman" w:cs="Times New Roman"/>
        </w:rPr>
      </w:pPr>
      <w:r w:rsidRPr="003412BE">
        <w:rPr>
          <w:rFonts w:ascii="Times New Roman" w:hAnsi="Times New Roman" w:cs="Times New Roman"/>
          <w:color w:val="auto"/>
        </w:rPr>
        <w:t>Bates, T</w:t>
      </w:r>
      <w:r w:rsidR="00DF73E1" w:rsidRPr="003412BE">
        <w:rPr>
          <w:rFonts w:ascii="Times New Roman" w:hAnsi="Times New Roman" w:cs="Times New Roman"/>
          <w:color w:val="auto"/>
        </w:rPr>
        <w:t>.</w:t>
      </w:r>
      <w:r w:rsidRPr="003412BE">
        <w:rPr>
          <w:rFonts w:ascii="Times New Roman" w:hAnsi="Times New Roman" w:cs="Times New Roman"/>
          <w:color w:val="auto"/>
        </w:rPr>
        <w:t xml:space="preserve"> (2012)</w:t>
      </w:r>
      <w:r w:rsidR="00EA2C42" w:rsidRPr="003412BE">
        <w:rPr>
          <w:rFonts w:ascii="Times New Roman" w:hAnsi="Times New Roman" w:cs="Times New Roman"/>
          <w:color w:val="auto"/>
        </w:rPr>
        <w:t>.</w:t>
      </w:r>
      <w:r w:rsidRPr="003412BE">
        <w:rPr>
          <w:rFonts w:ascii="Times New Roman" w:hAnsi="Times New Roman" w:cs="Times New Roman"/>
          <w:color w:val="auto"/>
        </w:rPr>
        <w:t xml:space="preserve"> </w:t>
      </w:r>
      <w:r w:rsidRPr="003412BE">
        <w:rPr>
          <w:rFonts w:ascii="Times New Roman" w:hAnsi="Times New Roman" w:cs="Times New Roman"/>
        </w:rPr>
        <w:t xml:space="preserve">What’s right and what’s wrong about Coursera-style MOOCs </w:t>
      </w:r>
      <w:r w:rsidR="00DF73E1" w:rsidRPr="003412BE">
        <w:rPr>
          <w:rFonts w:ascii="Times New Roman" w:hAnsi="Times New Roman" w:cs="Times New Roman"/>
        </w:rPr>
        <w:t xml:space="preserve"> [</w:t>
      </w:r>
      <w:r w:rsidR="00B60F86" w:rsidRPr="003412BE">
        <w:rPr>
          <w:rFonts w:ascii="Times New Roman" w:hAnsi="Times New Roman" w:cs="Times New Roman"/>
        </w:rPr>
        <w:t xml:space="preserve">Web </w:t>
      </w:r>
      <w:r w:rsidR="007E07AB" w:rsidRPr="003412BE">
        <w:rPr>
          <w:rFonts w:ascii="Times New Roman" w:hAnsi="Times New Roman" w:cs="Times New Roman"/>
        </w:rPr>
        <w:t>log</w:t>
      </w:r>
    </w:p>
    <w:p w14:paraId="59524607" w14:textId="542629FE" w:rsidR="0090792C" w:rsidRPr="003412BE" w:rsidRDefault="003C332B" w:rsidP="00300B98">
      <w:pPr>
        <w:ind w:left="851" w:hanging="851"/>
        <w:rPr>
          <w:rFonts w:ascii="Times New Roman" w:hAnsi="Times New Roman" w:cs="Times New Roman"/>
          <w:color w:val="auto"/>
        </w:rPr>
      </w:pPr>
      <w:r w:rsidRPr="003412BE">
        <w:rPr>
          <w:rFonts w:ascii="Times New Roman" w:hAnsi="Times New Roman" w:cs="Times New Roman"/>
        </w:rPr>
        <w:t>201</w:t>
      </w:r>
      <w:r w:rsidR="00DF73E1" w:rsidRPr="003412BE">
        <w:rPr>
          <w:rFonts w:ascii="Times New Roman" w:hAnsi="Times New Roman" w:cs="Times New Roman"/>
        </w:rPr>
        <w:t xml:space="preserve">2, August 15] </w:t>
      </w:r>
      <w:r w:rsidR="00D4133D" w:rsidRPr="003412BE">
        <w:rPr>
          <w:rFonts w:ascii="Times New Roman" w:hAnsi="Times New Roman" w:cs="Times New Roman"/>
        </w:rPr>
        <w:t>Retrieved</w:t>
      </w:r>
      <w:r w:rsidR="00DF73E1" w:rsidRPr="003412BE">
        <w:rPr>
          <w:rFonts w:ascii="Times New Roman" w:hAnsi="Times New Roman" w:cs="Times New Roman"/>
        </w:rPr>
        <w:t xml:space="preserve"> from</w:t>
      </w:r>
      <w:r w:rsidR="00B924A8" w:rsidRPr="003412BE">
        <w:rPr>
          <w:rFonts w:ascii="Times New Roman" w:hAnsi="Times New Roman" w:cs="Times New Roman"/>
        </w:rPr>
        <w:t xml:space="preserve"> </w:t>
      </w:r>
      <w:r w:rsidR="00870EAE" w:rsidRPr="003412BE">
        <w:rPr>
          <w:rFonts w:ascii="Times New Roman" w:hAnsi="Times New Roman" w:cs="Times New Roman"/>
        </w:rPr>
        <w:t>http://www.tonybates.ca/2012/08/05/whats-right-and-what-</w:t>
      </w:r>
      <w:r w:rsidR="00CF1A11" w:rsidRPr="003412BE">
        <w:rPr>
          <w:rFonts w:ascii="Times New Roman" w:hAnsi="Times New Roman" w:cs="Times New Roman"/>
          <w:color w:val="auto"/>
          <w:u w:val="single"/>
        </w:rPr>
        <w:t>wrong-about-coursera-style-moocs</w:t>
      </w:r>
    </w:p>
    <w:p w14:paraId="663FD7FA" w14:textId="79D6A24C" w:rsidR="003C332B" w:rsidRPr="003412BE" w:rsidRDefault="003C332B" w:rsidP="0079042B">
      <w:pPr>
        <w:pStyle w:val="NoSpacing"/>
        <w:ind w:left="851" w:hanging="851"/>
        <w:rPr>
          <w:rFonts w:cs="Times New Roman"/>
          <w:color w:val="auto"/>
        </w:rPr>
      </w:pPr>
      <w:r w:rsidRPr="003412BE">
        <w:rPr>
          <w:rFonts w:cs="Times New Roman"/>
        </w:rPr>
        <w:t>Bates , T (</w:t>
      </w:r>
      <w:r w:rsidR="00DF73E1" w:rsidRPr="003412BE">
        <w:rPr>
          <w:rFonts w:cs="Times New Roman"/>
        </w:rPr>
        <w:t>.</w:t>
      </w:r>
      <w:r w:rsidRPr="003412BE">
        <w:rPr>
          <w:rFonts w:cs="Times New Roman"/>
        </w:rPr>
        <w:t>2014)</w:t>
      </w:r>
      <w:r w:rsidR="00EA2C42" w:rsidRPr="003412BE">
        <w:rPr>
          <w:rFonts w:cs="Times New Roman"/>
        </w:rPr>
        <w:t>.</w:t>
      </w:r>
      <w:r w:rsidRPr="003412BE">
        <w:rPr>
          <w:rFonts w:cs="Times New Roman"/>
        </w:rPr>
        <w:t xml:space="preserve"> A balanced research report on the hopes and realities of MOOCs</w:t>
      </w:r>
      <w:r w:rsidR="00DF73E1" w:rsidRPr="003412BE">
        <w:rPr>
          <w:rFonts w:cs="Times New Roman"/>
        </w:rPr>
        <w:t>. [</w:t>
      </w:r>
      <w:r w:rsidR="00B60F86" w:rsidRPr="003412BE">
        <w:rPr>
          <w:rFonts w:cs="Times New Roman"/>
        </w:rPr>
        <w:t>Web log</w:t>
      </w:r>
      <w:r w:rsidR="00DF73E1" w:rsidRPr="003412BE">
        <w:rPr>
          <w:rFonts w:cs="Times New Roman"/>
        </w:rPr>
        <w:t xml:space="preserve"> </w:t>
      </w:r>
      <w:r w:rsidRPr="003412BE">
        <w:rPr>
          <w:rStyle w:val="Date1"/>
          <w:rFonts w:cs="Times New Roman"/>
        </w:rPr>
        <w:t>May 15, 2014</w:t>
      </w:r>
      <w:r w:rsidR="00DF73E1" w:rsidRPr="003412BE">
        <w:rPr>
          <w:rStyle w:val="Date1"/>
          <w:rFonts w:cs="Times New Roman"/>
        </w:rPr>
        <w:t>] Retrieved from</w:t>
      </w:r>
      <w:r w:rsidRPr="003412BE">
        <w:rPr>
          <w:rFonts w:cs="Times New Roman"/>
        </w:rPr>
        <w:t xml:space="preserve">  </w:t>
      </w:r>
      <w:r w:rsidRPr="003412BE">
        <w:rPr>
          <w:rFonts w:cs="Times New Roman"/>
          <w:u w:val="single"/>
        </w:rPr>
        <w:t>http://www.tonybates.ca/2014/05/15/a-balanced-research-report-on-the-hopes-and-realities-of-moocs/</w:t>
      </w:r>
    </w:p>
    <w:p w14:paraId="3A4D6E35" w14:textId="3A1D2FA7" w:rsidR="00F87614" w:rsidRPr="003412BE" w:rsidRDefault="005B592A" w:rsidP="00B747EC">
      <w:pPr>
        <w:pStyle w:val="NoSpacing"/>
        <w:spacing w:before="20" w:after="60"/>
        <w:ind w:left="720" w:hanging="720"/>
        <w:rPr>
          <w:rFonts w:cs="Times New Roman"/>
          <w:color w:val="auto"/>
        </w:rPr>
      </w:pPr>
      <w:r w:rsidRPr="003412BE">
        <w:rPr>
          <w:rFonts w:cs="Times New Roman"/>
          <w:color w:val="auto"/>
        </w:rPr>
        <w:t>Bean, M. (2012</w:t>
      </w:r>
      <w:r w:rsidR="003F360F" w:rsidRPr="003412BE">
        <w:rPr>
          <w:rFonts w:cs="Times New Roman"/>
          <w:color w:val="auto"/>
        </w:rPr>
        <w:t>, December 20</w:t>
      </w:r>
      <w:r w:rsidRPr="003412BE">
        <w:rPr>
          <w:rFonts w:cs="Times New Roman"/>
          <w:color w:val="auto"/>
        </w:rPr>
        <w:t>)</w:t>
      </w:r>
      <w:r w:rsidR="00EA2C42" w:rsidRPr="003412BE">
        <w:rPr>
          <w:rFonts w:cs="Times New Roman"/>
          <w:color w:val="auto"/>
        </w:rPr>
        <w:t>.</w:t>
      </w:r>
      <w:r w:rsidRPr="003412BE">
        <w:rPr>
          <w:rFonts w:cs="Times New Roman"/>
          <w:color w:val="auto"/>
        </w:rPr>
        <w:t xml:space="preserve"> </w:t>
      </w:r>
      <w:r w:rsidR="00656A1A" w:rsidRPr="003412BE">
        <w:rPr>
          <w:rFonts w:cs="Times New Roman"/>
          <w:color w:val="auto"/>
        </w:rPr>
        <w:t xml:space="preserve">In </w:t>
      </w:r>
      <w:r w:rsidRPr="003412BE">
        <w:rPr>
          <w:rFonts w:cs="Times New Roman"/>
          <w:color w:val="auto"/>
        </w:rPr>
        <w:t xml:space="preserve">conversation with Claire Shaw FutureLearn is UK's chance to 'fight back', says OU vice-chancellor,  </w:t>
      </w:r>
      <w:r w:rsidRPr="003412BE">
        <w:rPr>
          <w:rFonts w:cs="Times New Roman"/>
          <w:i/>
          <w:color w:val="auto"/>
        </w:rPr>
        <w:t>The Guardian</w:t>
      </w:r>
      <w:r w:rsidR="003F360F" w:rsidRPr="003412BE">
        <w:rPr>
          <w:rFonts w:cs="Times New Roman"/>
        </w:rPr>
        <w:t xml:space="preserve"> Retrived from</w:t>
      </w:r>
      <w:r w:rsidRPr="003412BE">
        <w:rPr>
          <w:rFonts w:cs="Times New Roman"/>
        </w:rPr>
        <w:t xml:space="preserve"> </w:t>
      </w:r>
      <w:hyperlink r:id="rId14">
        <w:r w:rsidRPr="003412BE">
          <w:rPr>
            <w:rFonts w:cs="Times New Roman"/>
            <w:color w:val="auto"/>
            <w:u w:val="single"/>
          </w:rPr>
          <w:t>http://www.theguardian.com/higher-education-network/blog/2012/dec/20/futurelearn-uk-moocs-martin-bean</w:t>
        </w:r>
      </w:hyperlink>
      <w:r w:rsidRPr="003412BE">
        <w:rPr>
          <w:rFonts w:cs="Times New Roman"/>
          <w:color w:val="auto"/>
        </w:rPr>
        <w:t xml:space="preserve">  </w:t>
      </w:r>
    </w:p>
    <w:p w14:paraId="4789BFAB" w14:textId="617032BB" w:rsidR="00F87614" w:rsidRPr="003412BE" w:rsidRDefault="00593193" w:rsidP="00B747EC">
      <w:pPr>
        <w:pStyle w:val="NoSpacing"/>
        <w:spacing w:before="20" w:after="60"/>
        <w:ind w:left="720" w:hanging="720"/>
        <w:rPr>
          <w:rFonts w:cs="Times New Roman"/>
          <w:color w:val="auto"/>
        </w:rPr>
      </w:pPr>
      <w:r w:rsidRPr="003412BE">
        <w:rPr>
          <w:rFonts w:cs="Times New Roman"/>
          <w:color w:val="auto"/>
        </w:rPr>
        <w:t>Clark, D</w:t>
      </w:r>
      <w:r w:rsidR="00DF73E1" w:rsidRPr="003412BE">
        <w:rPr>
          <w:rFonts w:cs="Times New Roman"/>
          <w:color w:val="auto"/>
        </w:rPr>
        <w:t>.</w:t>
      </w:r>
      <w:r w:rsidR="005B592A" w:rsidRPr="003412BE">
        <w:rPr>
          <w:rFonts w:cs="Times New Roman"/>
          <w:color w:val="auto"/>
        </w:rPr>
        <w:t>C</w:t>
      </w:r>
      <w:r w:rsidR="00DF73E1" w:rsidRPr="003412BE">
        <w:rPr>
          <w:rFonts w:cs="Times New Roman"/>
          <w:color w:val="auto"/>
        </w:rPr>
        <w:t>.</w:t>
      </w:r>
      <w:r w:rsidR="005B592A" w:rsidRPr="003412BE">
        <w:rPr>
          <w:rFonts w:cs="Times New Roman"/>
          <w:color w:val="auto"/>
        </w:rPr>
        <w:t xml:space="preserve"> (2013</w:t>
      </w:r>
      <w:r w:rsidR="001856FA" w:rsidRPr="003412BE">
        <w:rPr>
          <w:rFonts w:cs="Times New Roman"/>
          <w:color w:val="auto"/>
        </w:rPr>
        <w:t>, April 16</w:t>
      </w:r>
      <w:r w:rsidR="005B592A" w:rsidRPr="003412BE">
        <w:rPr>
          <w:rFonts w:cs="Times New Roman"/>
          <w:color w:val="auto"/>
        </w:rPr>
        <w:t>)</w:t>
      </w:r>
      <w:r w:rsidR="00EA2C42" w:rsidRPr="003412BE">
        <w:rPr>
          <w:rFonts w:cs="Times New Roman"/>
          <w:color w:val="auto"/>
        </w:rPr>
        <w:t xml:space="preserve">. </w:t>
      </w:r>
      <w:r w:rsidR="005B592A" w:rsidRPr="003412BE">
        <w:rPr>
          <w:rFonts w:cs="Times New Roman"/>
          <w:color w:val="auto"/>
        </w:rPr>
        <w:t>MOOCs: taxonomy of 8 types of MOOC</w:t>
      </w:r>
      <w:r w:rsidR="00DF73E1" w:rsidRPr="003412BE">
        <w:rPr>
          <w:rFonts w:cs="Times New Roman"/>
          <w:color w:val="auto"/>
        </w:rPr>
        <w:t xml:space="preserve"> [</w:t>
      </w:r>
      <w:r w:rsidR="00B60F86" w:rsidRPr="003412BE">
        <w:rPr>
          <w:rFonts w:cs="Times New Roman"/>
          <w:color w:val="auto"/>
        </w:rPr>
        <w:t>Web log</w:t>
      </w:r>
      <w:r w:rsidR="001856FA" w:rsidRPr="003412BE">
        <w:rPr>
          <w:rFonts w:cs="Times New Roman"/>
          <w:color w:val="auto"/>
        </w:rPr>
        <w:t>]</w:t>
      </w:r>
      <w:r w:rsidR="00DF73E1" w:rsidRPr="003412BE">
        <w:rPr>
          <w:rFonts w:cs="Times New Roman"/>
          <w:color w:val="auto"/>
        </w:rPr>
        <w:t xml:space="preserve"> </w:t>
      </w:r>
      <w:r w:rsidR="00870EAE" w:rsidRPr="003412BE">
        <w:rPr>
          <w:rFonts w:cs="Times New Roman"/>
          <w:color w:val="auto"/>
        </w:rPr>
        <w:t>Retrieved</w:t>
      </w:r>
      <w:r w:rsidR="00195D92" w:rsidRPr="003412BE">
        <w:rPr>
          <w:rFonts w:cs="Times New Roman"/>
          <w:color w:val="auto"/>
        </w:rPr>
        <w:t xml:space="preserve"> from </w:t>
      </w:r>
      <w:r w:rsidR="002F514E">
        <w:fldChar w:fldCharType="begin"/>
      </w:r>
      <w:r w:rsidR="002F514E">
        <w:instrText xml:space="preserve"> HYPERLINK "http://donaldclarkplanb.blogspot.co.uk/search?q=MOOCs:+taxonomy" \h </w:instrText>
      </w:r>
      <w:r w:rsidR="002F514E">
        <w:fldChar w:fldCharType="separate"/>
      </w:r>
      <w:r w:rsidR="005B592A" w:rsidRPr="003412BE">
        <w:rPr>
          <w:rFonts w:cs="Times New Roman"/>
          <w:color w:val="auto"/>
          <w:u w:val="single"/>
        </w:rPr>
        <w:t xml:space="preserve"> http://donaldclarkplanb.blogspot.co.uk/search?q=MOOCs:+taxonomy</w:t>
      </w:r>
      <w:r w:rsidR="002F514E">
        <w:rPr>
          <w:rFonts w:cs="Times New Roman"/>
          <w:color w:val="auto"/>
          <w:u w:val="single"/>
        </w:rPr>
        <w:fldChar w:fldCharType="end"/>
      </w:r>
      <w:r w:rsidR="005B592A" w:rsidRPr="003412BE">
        <w:rPr>
          <w:rFonts w:cs="Times New Roman"/>
          <w:color w:val="auto"/>
        </w:rPr>
        <w:t xml:space="preserve"> </w:t>
      </w:r>
    </w:p>
    <w:p w14:paraId="0A8AE9DA" w14:textId="2E379C5C" w:rsidR="00AE3A2B" w:rsidRPr="003412BE" w:rsidRDefault="00AE3A2B" w:rsidP="00B747EC">
      <w:pPr>
        <w:pStyle w:val="NoSpacing"/>
        <w:ind w:left="720" w:hanging="720"/>
        <w:rPr>
          <w:rFonts w:cs="Times New Roman"/>
          <w:color w:val="auto"/>
        </w:rPr>
      </w:pPr>
      <w:r w:rsidRPr="003412BE">
        <w:rPr>
          <w:rStyle w:val="field-content"/>
          <w:rFonts w:cs="Times New Roman"/>
        </w:rPr>
        <w:t>Cheverie, J</w:t>
      </w:r>
      <w:r w:rsidR="00195D92" w:rsidRPr="003412BE">
        <w:rPr>
          <w:rStyle w:val="field-content"/>
          <w:rFonts w:cs="Times New Roman"/>
        </w:rPr>
        <w:t>.</w:t>
      </w:r>
      <w:r w:rsidRPr="003412BE">
        <w:rPr>
          <w:rStyle w:val="field-content"/>
          <w:rFonts w:cs="Times New Roman"/>
        </w:rPr>
        <w:t xml:space="preserve"> (2013</w:t>
      </w:r>
      <w:r w:rsidR="001856FA" w:rsidRPr="003412BE">
        <w:rPr>
          <w:rStyle w:val="field-content"/>
          <w:rFonts w:cs="Times New Roman"/>
        </w:rPr>
        <w:t>, April 8</w:t>
      </w:r>
      <w:r w:rsidRPr="003412BE">
        <w:rPr>
          <w:rStyle w:val="field-content"/>
          <w:rFonts w:cs="Times New Roman"/>
        </w:rPr>
        <w:t>)</w:t>
      </w:r>
      <w:r w:rsidR="00EA2C42" w:rsidRPr="003412BE">
        <w:rPr>
          <w:rStyle w:val="field-content"/>
          <w:rFonts w:cs="Times New Roman"/>
        </w:rPr>
        <w:t>.</w:t>
      </w:r>
      <w:r w:rsidRPr="003412BE">
        <w:rPr>
          <w:rStyle w:val="field-content"/>
          <w:rFonts w:cs="Times New Roman"/>
        </w:rPr>
        <w:t xml:space="preserve"> </w:t>
      </w:r>
      <w:r w:rsidRPr="003412BE">
        <w:rPr>
          <w:rFonts w:cs="Times New Roman"/>
        </w:rPr>
        <w:t>MOOCs and Intellectual Property: Ownership and Use Rights</w:t>
      </w:r>
      <w:r w:rsidR="00195D92" w:rsidRPr="003412BE">
        <w:rPr>
          <w:rFonts w:cs="Times New Roman"/>
        </w:rPr>
        <w:t xml:space="preserve"> [</w:t>
      </w:r>
      <w:r w:rsidR="00B60F86" w:rsidRPr="003412BE">
        <w:rPr>
          <w:rFonts w:cs="Times New Roman"/>
        </w:rPr>
        <w:t>Web log</w:t>
      </w:r>
      <w:r w:rsidR="00195D92" w:rsidRPr="003412BE">
        <w:rPr>
          <w:rStyle w:val="submitted"/>
          <w:rFonts w:cs="Times New Roman"/>
        </w:rPr>
        <w:t>] Retrieved from</w:t>
      </w:r>
      <w:r w:rsidRPr="003412BE">
        <w:rPr>
          <w:rStyle w:val="submitted"/>
          <w:rFonts w:cs="Times New Roman"/>
        </w:rPr>
        <w:t xml:space="preserve"> </w:t>
      </w:r>
      <w:r w:rsidRPr="003412BE">
        <w:rPr>
          <w:rStyle w:val="field-content"/>
          <w:rFonts w:cs="Times New Roman"/>
          <w:u w:val="single"/>
        </w:rPr>
        <w:t>http://www.educause.edu/blogs/cheverij/moocs-and-intellectual-property-ownership-and-use-rights</w:t>
      </w:r>
      <w:r w:rsidRPr="003412BE">
        <w:rPr>
          <w:rStyle w:val="field-content"/>
          <w:rFonts w:cs="Times New Roman"/>
        </w:rPr>
        <w:t xml:space="preserve"> </w:t>
      </w:r>
    </w:p>
    <w:p w14:paraId="0E3A04CC" w14:textId="768B2BE7" w:rsidR="00F87614" w:rsidRPr="003412BE" w:rsidRDefault="00593193" w:rsidP="00B747EC">
      <w:pPr>
        <w:pStyle w:val="NoSpacing"/>
        <w:spacing w:before="20" w:after="60"/>
        <w:ind w:left="720" w:hanging="720"/>
        <w:rPr>
          <w:rFonts w:cs="Times New Roman"/>
          <w:color w:val="auto"/>
        </w:rPr>
      </w:pPr>
      <w:r w:rsidRPr="003412BE">
        <w:rPr>
          <w:rFonts w:cs="Times New Roman"/>
          <w:color w:val="auto"/>
        </w:rPr>
        <w:t>Conole, G</w:t>
      </w:r>
      <w:r w:rsidR="005B592A" w:rsidRPr="003412BE">
        <w:rPr>
          <w:rFonts w:cs="Times New Roman"/>
          <w:color w:val="auto"/>
        </w:rPr>
        <w:t xml:space="preserve">. </w:t>
      </w:r>
      <w:r w:rsidR="00195D92" w:rsidRPr="003412BE">
        <w:rPr>
          <w:rFonts w:cs="Times New Roman"/>
          <w:color w:val="auto"/>
        </w:rPr>
        <w:t>(</w:t>
      </w:r>
      <w:r w:rsidR="005B592A" w:rsidRPr="003412BE">
        <w:rPr>
          <w:rFonts w:cs="Times New Roman"/>
          <w:color w:val="auto"/>
        </w:rPr>
        <w:t>2013</w:t>
      </w:r>
      <w:r w:rsidR="00195D92" w:rsidRPr="003412BE">
        <w:rPr>
          <w:rFonts w:cs="Times New Roman"/>
          <w:color w:val="auto"/>
        </w:rPr>
        <w:t>)</w:t>
      </w:r>
      <w:r w:rsidR="00EA2C42" w:rsidRPr="003412BE">
        <w:rPr>
          <w:rFonts w:cs="Times New Roman"/>
          <w:color w:val="auto"/>
        </w:rPr>
        <w:t>.</w:t>
      </w:r>
      <w:r w:rsidR="005B592A" w:rsidRPr="003412BE">
        <w:rPr>
          <w:rFonts w:cs="Times New Roman"/>
          <w:color w:val="auto"/>
        </w:rPr>
        <w:t xml:space="preserve"> MOOCs as disruptive technologies: </w:t>
      </w:r>
      <w:r w:rsidR="00656A1A" w:rsidRPr="003412BE">
        <w:rPr>
          <w:rFonts w:cs="Times New Roman"/>
          <w:color w:val="auto"/>
        </w:rPr>
        <w:t>S</w:t>
      </w:r>
      <w:r w:rsidR="005B592A" w:rsidRPr="003412BE">
        <w:rPr>
          <w:rFonts w:cs="Times New Roman"/>
          <w:color w:val="auto"/>
        </w:rPr>
        <w:t>trategies for enhancing the learner experience and quality of MOOCs.</w:t>
      </w:r>
      <w:r w:rsidR="00A01C57" w:rsidRPr="003412BE">
        <w:rPr>
          <w:rFonts w:cs="Times New Roman"/>
          <w:color w:val="auto"/>
        </w:rPr>
        <w:t xml:space="preserve"> Retrived from</w:t>
      </w:r>
      <w:r w:rsidR="002F514E">
        <w:fldChar w:fldCharType="begin"/>
      </w:r>
      <w:r w:rsidR="002F514E">
        <w:instrText xml:space="preserve"> HYPERLINK "http://eprints.rclis.org/19388/" \h </w:instrText>
      </w:r>
      <w:r w:rsidR="002F514E">
        <w:fldChar w:fldCharType="separate"/>
      </w:r>
      <w:r w:rsidR="005B592A" w:rsidRPr="003412BE">
        <w:rPr>
          <w:rFonts w:cs="Times New Roman"/>
          <w:color w:val="auto"/>
          <w:u w:val="single"/>
        </w:rPr>
        <w:t xml:space="preserve"> http://eprints.rclis.org/19388/</w:t>
      </w:r>
      <w:r w:rsidR="002F514E">
        <w:rPr>
          <w:rFonts w:cs="Times New Roman"/>
          <w:color w:val="auto"/>
          <w:u w:val="single"/>
        </w:rPr>
        <w:fldChar w:fldCharType="end"/>
      </w:r>
      <w:r w:rsidR="005B592A" w:rsidRPr="003412BE">
        <w:rPr>
          <w:rFonts w:cs="Times New Roman"/>
          <w:color w:val="auto"/>
        </w:rPr>
        <w:t xml:space="preserve"> </w:t>
      </w:r>
    </w:p>
    <w:p w14:paraId="62D6CD37" w14:textId="260664BB" w:rsidR="00F87614" w:rsidRPr="003412BE" w:rsidRDefault="00593193" w:rsidP="00B747EC">
      <w:pPr>
        <w:pStyle w:val="NoSpacing"/>
        <w:spacing w:before="20" w:after="60"/>
        <w:ind w:left="720" w:hanging="720"/>
        <w:rPr>
          <w:rFonts w:cs="Times New Roman"/>
          <w:color w:val="auto"/>
        </w:rPr>
      </w:pPr>
      <w:r w:rsidRPr="003412BE">
        <w:rPr>
          <w:rFonts w:cs="Times New Roman"/>
          <w:color w:val="auto"/>
        </w:rPr>
        <w:t>Conway, Ma</w:t>
      </w:r>
      <w:r w:rsidR="005B592A" w:rsidRPr="003412BE">
        <w:rPr>
          <w:rFonts w:cs="Times New Roman"/>
          <w:color w:val="auto"/>
        </w:rPr>
        <w:t xml:space="preserve">. </w:t>
      </w:r>
      <w:r w:rsidR="00195D92" w:rsidRPr="003412BE">
        <w:rPr>
          <w:rFonts w:cs="Times New Roman"/>
          <w:color w:val="auto"/>
        </w:rPr>
        <w:t>(</w:t>
      </w:r>
      <w:r w:rsidR="005B592A" w:rsidRPr="003412BE">
        <w:rPr>
          <w:rFonts w:cs="Times New Roman"/>
          <w:color w:val="auto"/>
        </w:rPr>
        <w:t>2013</w:t>
      </w:r>
      <w:r w:rsidR="001856FA" w:rsidRPr="003412BE">
        <w:rPr>
          <w:rFonts w:cs="Times New Roman"/>
          <w:color w:val="auto"/>
        </w:rPr>
        <w:t>, June 21</w:t>
      </w:r>
      <w:r w:rsidR="00195D92" w:rsidRPr="003412BE">
        <w:rPr>
          <w:rFonts w:cs="Times New Roman"/>
          <w:color w:val="auto"/>
        </w:rPr>
        <w:t>)</w:t>
      </w:r>
      <w:r w:rsidR="00EA2C42" w:rsidRPr="003412BE">
        <w:rPr>
          <w:rFonts w:cs="Times New Roman"/>
          <w:color w:val="auto"/>
        </w:rPr>
        <w:t>.</w:t>
      </w:r>
      <w:r w:rsidR="005B592A" w:rsidRPr="003412BE">
        <w:rPr>
          <w:rFonts w:cs="Times New Roman"/>
          <w:color w:val="auto"/>
        </w:rPr>
        <w:t xml:space="preserve"> ‘HarvardX’s New Fall Offerings To Include Two SPOCs’ The Harvard Crimson</w:t>
      </w:r>
      <w:r w:rsidR="002F514E">
        <w:fldChar w:fldCharType="begin"/>
      </w:r>
      <w:r w:rsidR="002F514E">
        <w:instrText xml:space="preserve"> HYPERLINK "http://www.thecrimson.com/article/2013/6/21/new-edx-fall-2013/" \h </w:instrText>
      </w:r>
      <w:r w:rsidR="002F514E">
        <w:fldChar w:fldCharType="separate"/>
      </w:r>
      <w:r w:rsidR="005B592A" w:rsidRPr="003412BE">
        <w:rPr>
          <w:rFonts w:cs="Times New Roman"/>
          <w:color w:val="auto"/>
          <w:u w:val="single"/>
        </w:rPr>
        <w:t xml:space="preserve"> http://www.thecrimson.com/article/2013/6/21/new-edx-fall-2013/</w:t>
      </w:r>
      <w:r w:rsidR="002F514E">
        <w:rPr>
          <w:rFonts w:cs="Times New Roman"/>
          <w:color w:val="auto"/>
          <w:u w:val="single"/>
        </w:rPr>
        <w:fldChar w:fldCharType="end"/>
      </w:r>
      <w:r w:rsidR="005B592A" w:rsidRPr="003412BE">
        <w:rPr>
          <w:rFonts w:cs="Times New Roman"/>
          <w:color w:val="auto"/>
        </w:rPr>
        <w:t xml:space="preserve"> </w:t>
      </w:r>
    </w:p>
    <w:p w14:paraId="56789601" w14:textId="4043AE0C" w:rsidR="00A1770A" w:rsidRPr="003412BE" w:rsidRDefault="00A1770A" w:rsidP="00B747EC">
      <w:pPr>
        <w:pStyle w:val="NoSpacing"/>
        <w:spacing w:before="20" w:after="60"/>
        <w:ind w:left="720" w:hanging="720"/>
        <w:rPr>
          <w:rFonts w:cs="Times New Roman"/>
          <w:color w:val="auto"/>
        </w:rPr>
      </w:pPr>
      <w:r w:rsidRPr="003412BE">
        <w:rPr>
          <w:rFonts w:cs="Times New Roman"/>
          <w:color w:val="auto"/>
        </w:rPr>
        <w:t>Cormier, D (2013, October 29). Some things MOOCs are good for [Web log]. Retri</w:t>
      </w:r>
      <w:r w:rsidR="002F1358" w:rsidRPr="003412BE">
        <w:rPr>
          <w:rFonts w:cs="Times New Roman"/>
          <w:color w:val="auto"/>
        </w:rPr>
        <w:t>e</w:t>
      </w:r>
      <w:r w:rsidRPr="003412BE">
        <w:rPr>
          <w:rFonts w:cs="Times New Roman"/>
          <w:color w:val="auto"/>
        </w:rPr>
        <w:t xml:space="preserve">ved from </w:t>
      </w:r>
      <w:r w:rsidRPr="003412BE">
        <w:rPr>
          <w:rFonts w:cs="Times New Roman"/>
          <w:color w:val="auto"/>
          <w:u w:val="single"/>
        </w:rPr>
        <w:t>http://davecormier.com/edblog/2013/10/29/some-things-moocs-are-good-for/</w:t>
      </w:r>
    </w:p>
    <w:p w14:paraId="658B9F47" w14:textId="348697B0" w:rsidR="00F87614" w:rsidRPr="003412BE" w:rsidRDefault="00593193" w:rsidP="00B747EC">
      <w:pPr>
        <w:pStyle w:val="NoSpacing"/>
        <w:spacing w:before="20" w:after="60"/>
        <w:ind w:left="720" w:hanging="720"/>
        <w:rPr>
          <w:rFonts w:cs="Times New Roman"/>
          <w:color w:val="auto"/>
        </w:rPr>
      </w:pPr>
      <w:r w:rsidRPr="003412BE">
        <w:rPr>
          <w:rFonts w:cs="Times New Roman"/>
          <w:color w:val="auto"/>
        </w:rPr>
        <w:t xml:space="preserve">Coughlan, </w:t>
      </w:r>
      <w:r w:rsidR="00195D92" w:rsidRPr="003412BE">
        <w:rPr>
          <w:rFonts w:cs="Times New Roman"/>
          <w:color w:val="auto"/>
        </w:rPr>
        <w:t>S</w:t>
      </w:r>
      <w:r w:rsidR="005B592A" w:rsidRPr="003412BE">
        <w:rPr>
          <w:rFonts w:cs="Times New Roman"/>
          <w:color w:val="auto"/>
        </w:rPr>
        <w:t xml:space="preserve">.  </w:t>
      </w:r>
      <w:r w:rsidR="00195D92" w:rsidRPr="003412BE">
        <w:rPr>
          <w:rFonts w:cs="Times New Roman"/>
          <w:color w:val="auto"/>
        </w:rPr>
        <w:t>(</w:t>
      </w:r>
      <w:r w:rsidR="005B592A" w:rsidRPr="003412BE">
        <w:rPr>
          <w:rFonts w:cs="Times New Roman"/>
          <w:color w:val="auto"/>
        </w:rPr>
        <w:t>2013</w:t>
      </w:r>
      <w:r w:rsidR="001856FA" w:rsidRPr="003412BE">
        <w:rPr>
          <w:rFonts w:cs="Times New Roman"/>
          <w:color w:val="auto"/>
        </w:rPr>
        <w:t>, 24 September</w:t>
      </w:r>
      <w:r w:rsidR="00195D92" w:rsidRPr="003412BE">
        <w:rPr>
          <w:rFonts w:cs="Times New Roman"/>
          <w:color w:val="auto"/>
        </w:rPr>
        <w:t>)</w:t>
      </w:r>
      <w:r w:rsidR="00EA2C42" w:rsidRPr="003412BE">
        <w:rPr>
          <w:rFonts w:cs="Times New Roman"/>
          <w:color w:val="auto"/>
        </w:rPr>
        <w:t xml:space="preserve">. </w:t>
      </w:r>
      <w:r w:rsidR="005B592A" w:rsidRPr="003412BE">
        <w:rPr>
          <w:rFonts w:cs="Times New Roman"/>
          <w:color w:val="auto"/>
        </w:rPr>
        <w:t>‘Harvard plans to go boldly with ‘Spocs’ BBC News</w:t>
      </w:r>
      <w:r w:rsidR="002F514E">
        <w:fldChar w:fldCharType="begin"/>
      </w:r>
      <w:r w:rsidR="002F514E">
        <w:instrText xml:space="preserve"> HYPERLINK "http://www.bbc.co.uk/news/business-24166247" \h </w:instrText>
      </w:r>
      <w:r w:rsidR="002F514E">
        <w:fldChar w:fldCharType="separate"/>
      </w:r>
      <w:r w:rsidR="005B592A" w:rsidRPr="003412BE">
        <w:rPr>
          <w:rFonts w:cs="Times New Roman"/>
          <w:color w:val="auto"/>
          <w:u w:val="single"/>
        </w:rPr>
        <w:t xml:space="preserve"> http://www.bbc.co.uk/news/business-24166247</w:t>
      </w:r>
      <w:r w:rsidR="002F514E">
        <w:rPr>
          <w:rFonts w:cs="Times New Roman"/>
          <w:color w:val="auto"/>
          <w:u w:val="single"/>
        </w:rPr>
        <w:fldChar w:fldCharType="end"/>
      </w:r>
      <w:r w:rsidR="005B592A" w:rsidRPr="003412BE">
        <w:rPr>
          <w:rFonts w:cs="Times New Roman"/>
          <w:color w:val="auto"/>
        </w:rPr>
        <w:t xml:space="preserve"> </w:t>
      </w:r>
    </w:p>
    <w:p w14:paraId="386A6100" w14:textId="0B330F45" w:rsidR="00F87614" w:rsidRPr="003412BE" w:rsidRDefault="005B592A" w:rsidP="00B747EC">
      <w:pPr>
        <w:pStyle w:val="NoSpacing"/>
        <w:spacing w:before="20" w:after="60"/>
        <w:ind w:left="709" w:hanging="720"/>
        <w:rPr>
          <w:rFonts w:cs="Times New Roman"/>
          <w:color w:val="auto"/>
        </w:rPr>
      </w:pPr>
      <w:r w:rsidRPr="003412BE">
        <w:rPr>
          <w:rFonts w:cs="Times New Roman"/>
          <w:color w:val="auto"/>
        </w:rPr>
        <w:t>Czerniewicz, L</w:t>
      </w:r>
      <w:r w:rsidR="00195D92" w:rsidRPr="003412BE">
        <w:rPr>
          <w:rFonts w:cs="Times New Roman"/>
          <w:color w:val="auto"/>
        </w:rPr>
        <w:t>.</w:t>
      </w:r>
      <w:r w:rsidRPr="003412BE">
        <w:rPr>
          <w:rFonts w:cs="Times New Roman"/>
          <w:color w:val="auto"/>
        </w:rPr>
        <w:t xml:space="preserve"> and Naidoo, U. </w:t>
      </w:r>
      <w:r w:rsidR="001153C6" w:rsidRPr="003412BE">
        <w:rPr>
          <w:rFonts w:cs="Times New Roman"/>
          <w:color w:val="auto"/>
        </w:rPr>
        <w:t>(</w:t>
      </w:r>
      <w:r w:rsidRPr="003412BE">
        <w:rPr>
          <w:rFonts w:cs="Times New Roman"/>
          <w:color w:val="auto"/>
        </w:rPr>
        <w:t>2013</w:t>
      </w:r>
      <w:r w:rsidR="00EA768C" w:rsidRPr="003412BE">
        <w:rPr>
          <w:rFonts w:cs="Times New Roman"/>
          <w:color w:val="auto"/>
        </w:rPr>
        <w:t>, 9 September)</w:t>
      </w:r>
      <w:r w:rsidRPr="003412BE">
        <w:rPr>
          <w:rFonts w:cs="Times New Roman"/>
          <w:color w:val="auto"/>
        </w:rPr>
        <w:t>. MOOC-less in Africa</w:t>
      </w:r>
      <w:r w:rsidR="00EA768C" w:rsidRPr="003412BE">
        <w:rPr>
          <w:rFonts w:cs="Times New Roman"/>
          <w:color w:val="auto"/>
        </w:rPr>
        <w:t xml:space="preserve"> [Web log]</w:t>
      </w:r>
      <w:r w:rsidR="00EF5840" w:rsidRPr="003412BE">
        <w:rPr>
          <w:rFonts w:cs="Times New Roman"/>
          <w:color w:val="auto"/>
        </w:rPr>
        <w:t>.</w:t>
      </w:r>
      <w:r w:rsidR="00195D92" w:rsidRPr="003412BE">
        <w:rPr>
          <w:rFonts w:cs="Times New Roman"/>
          <w:color w:val="auto"/>
        </w:rPr>
        <w:t xml:space="preserve"> </w:t>
      </w:r>
      <w:r w:rsidR="00EA768C" w:rsidRPr="003412BE">
        <w:rPr>
          <w:rFonts w:cs="Times New Roman"/>
          <w:color w:val="auto"/>
        </w:rPr>
        <w:t>Retrieved from</w:t>
      </w:r>
      <w:r w:rsidRPr="003412BE">
        <w:rPr>
          <w:rFonts w:cs="Times New Roman"/>
          <w:color w:val="auto"/>
        </w:rPr>
        <w:t xml:space="preserve"> </w:t>
      </w:r>
      <w:hyperlink r:id="rId15">
        <w:r w:rsidRPr="003412BE">
          <w:rPr>
            <w:rFonts w:cs="Times New Roman"/>
            <w:color w:val="auto"/>
            <w:u w:val="single"/>
          </w:rPr>
          <w:t xml:space="preserve"> http://openuct.uct.ac.za/blog/mooc-less-africa</w:t>
        </w:r>
      </w:hyperlink>
      <w:r w:rsidRPr="003412BE">
        <w:rPr>
          <w:rFonts w:cs="Times New Roman"/>
          <w:color w:val="auto"/>
        </w:rPr>
        <w:t xml:space="preserve">  </w:t>
      </w:r>
    </w:p>
    <w:p w14:paraId="641820A7" w14:textId="77777777" w:rsidR="00F87614" w:rsidRPr="003412BE" w:rsidRDefault="005B592A" w:rsidP="00B747EC">
      <w:pPr>
        <w:pStyle w:val="NoSpacing"/>
        <w:spacing w:before="20" w:after="60"/>
        <w:ind w:left="709" w:hanging="720"/>
        <w:rPr>
          <w:rFonts w:cs="Times New Roman"/>
          <w:color w:val="auto"/>
        </w:rPr>
      </w:pPr>
      <w:r w:rsidRPr="003412BE">
        <w:rPr>
          <w:rFonts w:cs="Times New Roman"/>
          <w:color w:val="auto"/>
        </w:rPr>
        <w:t xml:space="preserve">Daniel, J. </w:t>
      </w:r>
      <w:r w:rsidR="00C372EF" w:rsidRPr="003412BE">
        <w:rPr>
          <w:rFonts w:cs="Times New Roman"/>
          <w:color w:val="auto"/>
        </w:rPr>
        <w:t>(</w:t>
      </w:r>
      <w:r w:rsidRPr="003412BE">
        <w:rPr>
          <w:rFonts w:cs="Times New Roman"/>
          <w:color w:val="auto"/>
        </w:rPr>
        <w:t>2012</w:t>
      </w:r>
      <w:r w:rsidR="00C372EF" w:rsidRPr="003412BE">
        <w:rPr>
          <w:rFonts w:cs="Times New Roman"/>
          <w:color w:val="auto"/>
        </w:rPr>
        <w:t>)</w:t>
      </w:r>
      <w:r w:rsidRPr="003412BE">
        <w:rPr>
          <w:rFonts w:cs="Times New Roman"/>
          <w:color w:val="auto"/>
        </w:rPr>
        <w:t>.</w:t>
      </w:r>
      <w:r w:rsidR="00C372EF" w:rsidRPr="003412BE">
        <w:rPr>
          <w:rFonts w:cs="Times New Roman"/>
          <w:color w:val="auto"/>
        </w:rPr>
        <w:t xml:space="preserve"> </w:t>
      </w:r>
      <w:r w:rsidRPr="003412BE">
        <w:rPr>
          <w:rFonts w:cs="Times New Roman"/>
          <w:color w:val="auto"/>
        </w:rPr>
        <w:t xml:space="preserve">Making </w:t>
      </w:r>
      <w:r w:rsidR="00C372EF" w:rsidRPr="003412BE">
        <w:rPr>
          <w:rFonts w:cs="Times New Roman"/>
          <w:color w:val="auto"/>
        </w:rPr>
        <w:t>s</w:t>
      </w:r>
      <w:r w:rsidRPr="003412BE">
        <w:rPr>
          <w:rFonts w:cs="Times New Roman"/>
          <w:color w:val="auto"/>
        </w:rPr>
        <w:t xml:space="preserve">ense of MOOCs: Musings in a </w:t>
      </w:r>
      <w:r w:rsidR="00C372EF" w:rsidRPr="003412BE">
        <w:rPr>
          <w:rFonts w:cs="Times New Roman"/>
          <w:color w:val="auto"/>
        </w:rPr>
        <w:t>m</w:t>
      </w:r>
      <w:r w:rsidRPr="003412BE">
        <w:rPr>
          <w:rFonts w:cs="Times New Roman"/>
          <w:color w:val="auto"/>
        </w:rPr>
        <w:t xml:space="preserve">aze of </w:t>
      </w:r>
      <w:r w:rsidR="00C372EF" w:rsidRPr="003412BE">
        <w:rPr>
          <w:rFonts w:cs="Times New Roman"/>
          <w:color w:val="auto"/>
        </w:rPr>
        <w:t>m</w:t>
      </w:r>
      <w:r w:rsidRPr="003412BE">
        <w:rPr>
          <w:rFonts w:cs="Times New Roman"/>
          <w:color w:val="auto"/>
        </w:rPr>
        <w:t xml:space="preserve">yth, </w:t>
      </w:r>
      <w:r w:rsidR="00C372EF" w:rsidRPr="003412BE">
        <w:rPr>
          <w:rFonts w:cs="Times New Roman"/>
          <w:color w:val="auto"/>
        </w:rPr>
        <w:t>p</w:t>
      </w:r>
      <w:r w:rsidRPr="003412BE">
        <w:rPr>
          <w:rFonts w:cs="Times New Roman"/>
          <w:color w:val="auto"/>
        </w:rPr>
        <w:t xml:space="preserve">aradox and </w:t>
      </w:r>
      <w:r w:rsidR="00C372EF" w:rsidRPr="003412BE">
        <w:rPr>
          <w:rFonts w:cs="Times New Roman"/>
          <w:color w:val="auto"/>
        </w:rPr>
        <w:t>p</w:t>
      </w:r>
      <w:r w:rsidRPr="003412BE">
        <w:rPr>
          <w:rFonts w:cs="Times New Roman"/>
          <w:color w:val="auto"/>
        </w:rPr>
        <w:t xml:space="preserve">ossibility. </w:t>
      </w:r>
      <w:r w:rsidRPr="003412BE">
        <w:rPr>
          <w:rFonts w:cs="Times New Roman"/>
          <w:i/>
          <w:color w:val="auto"/>
        </w:rPr>
        <w:t>Journal of Interactive Media In Education</w:t>
      </w:r>
      <w:r w:rsidRPr="003412BE">
        <w:rPr>
          <w:rFonts w:cs="Times New Roman"/>
          <w:color w:val="auto"/>
        </w:rPr>
        <w:t xml:space="preserve">, </w:t>
      </w:r>
      <w:r w:rsidRPr="003412BE">
        <w:rPr>
          <w:rFonts w:cs="Times New Roman"/>
          <w:i/>
          <w:color w:val="auto"/>
        </w:rPr>
        <w:t>3</w:t>
      </w:r>
      <w:r w:rsidRPr="003412BE">
        <w:rPr>
          <w:rFonts w:cs="Times New Roman"/>
          <w:color w:val="auto"/>
        </w:rPr>
        <w:t>.</w:t>
      </w:r>
      <w:r w:rsidR="00D76113" w:rsidRPr="003412BE">
        <w:rPr>
          <w:rFonts w:cs="Times New Roman"/>
          <w:color w:val="auto"/>
        </w:rPr>
        <w:t xml:space="preserve"> </w:t>
      </w:r>
      <w:r w:rsidR="008F7A07" w:rsidRPr="003412BE">
        <w:rPr>
          <w:rFonts w:cs="Times New Roman"/>
          <w:color w:val="auto"/>
        </w:rPr>
        <w:t>Retrieved from</w:t>
      </w:r>
      <w:hyperlink r:id="rId16">
        <w:r w:rsidRPr="003412BE">
          <w:rPr>
            <w:rFonts w:cs="Times New Roman"/>
            <w:color w:val="auto"/>
            <w:u w:val="single"/>
          </w:rPr>
          <w:t xml:space="preserve"> http://jime.open.ac.uk/article/2012-18/pdf</w:t>
        </w:r>
      </w:hyperlink>
      <w:r w:rsidRPr="003412BE">
        <w:rPr>
          <w:rFonts w:cs="Times New Roman"/>
          <w:color w:val="auto"/>
        </w:rPr>
        <w:t xml:space="preserve"> </w:t>
      </w:r>
    </w:p>
    <w:p w14:paraId="0CA996D7" w14:textId="285714CA" w:rsidR="003D076C" w:rsidRPr="003412BE" w:rsidRDefault="00593193" w:rsidP="00B747EC">
      <w:pPr>
        <w:pStyle w:val="NoSpacing"/>
        <w:spacing w:before="20" w:after="60"/>
        <w:ind w:left="709" w:hanging="720"/>
        <w:rPr>
          <w:rFonts w:cs="Times New Roman"/>
          <w:color w:val="auto"/>
          <w:u w:val="single"/>
        </w:rPr>
      </w:pPr>
      <w:r w:rsidRPr="003412BE">
        <w:rPr>
          <w:rFonts w:cs="Times New Roman"/>
          <w:color w:val="auto"/>
        </w:rPr>
        <w:t>Davidson, C</w:t>
      </w:r>
      <w:r w:rsidR="00195D92" w:rsidRPr="003412BE">
        <w:rPr>
          <w:rFonts w:cs="Times New Roman"/>
          <w:color w:val="auto"/>
        </w:rPr>
        <w:t>.</w:t>
      </w:r>
      <w:r w:rsidR="005B592A" w:rsidRPr="003412BE">
        <w:rPr>
          <w:rFonts w:cs="Times New Roman"/>
          <w:color w:val="auto"/>
        </w:rPr>
        <w:t xml:space="preserve"> N. </w:t>
      </w:r>
      <w:r w:rsidR="00195D92" w:rsidRPr="003412BE">
        <w:rPr>
          <w:rFonts w:cs="Times New Roman"/>
          <w:color w:val="auto"/>
        </w:rPr>
        <w:t>(</w:t>
      </w:r>
      <w:r w:rsidR="005B592A" w:rsidRPr="003412BE">
        <w:rPr>
          <w:rFonts w:cs="Times New Roman"/>
          <w:color w:val="auto"/>
        </w:rPr>
        <w:t>2014</w:t>
      </w:r>
      <w:r w:rsidR="00EF5840" w:rsidRPr="003412BE">
        <w:rPr>
          <w:rFonts w:cs="Times New Roman"/>
          <w:color w:val="auto"/>
        </w:rPr>
        <w:t>, January 16</w:t>
      </w:r>
      <w:r w:rsidR="00195D92" w:rsidRPr="003412BE">
        <w:rPr>
          <w:rFonts w:cs="Times New Roman"/>
          <w:color w:val="auto"/>
        </w:rPr>
        <w:t>)</w:t>
      </w:r>
      <w:r w:rsidR="00EA2C42" w:rsidRPr="003412BE">
        <w:rPr>
          <w:rFonts w:cs="Times New Roman"/>
          <w:color w:val="auto"/>
        </w:rPr>
        <w:t>.</w:t>
      </w:r>
      <w:r w:rsidR="005B592A" w:rsidRPr="003412BE">
        <w:rPr>
          <w:rFonts w:cs="Times New Roman"/>
          <w:color w:val="auto"/>
        </w:rPr>
        <w:t xml:space="preserve"> 10 things I’ve learned (so far) from making a meta-MOOC </w:t>
      </w:r>
      <w:r w:rsidR="00195D92" w:rsidRPr="003412BE">
        <w:rPr>
          <w:rFonts w:cs="Times New Roman"/>
          <w:color w:val="auto"/>
        </w:rPr>
        <w:t>[Web log]</w:t>
      </w:r>
      <w:r w:rsidR="00EF5840" w:rsidRPr="003412BE">
        <w:rPr>
          <w:rFonts w:cs="Times New Roman"/>
          <w:color w:val="auto"/>
        </w:rPr>
        <w:t>.</w:t>
      </w:r>
      <w:r w:rsidR="00195D92" w:rsidRPr="003412BE">
        <w:rPr>
          <w:rFonts w:cs="Times New Roman"/>
          <w:color w:val="auto"/>
        </w:rPr>
        <w:t xml:space="preserve"> Retrieved from </w:t>
      </w:r>
      <w:r w:rsidR="005B592A" w:rsidRPr="003412BE">
        <w:rPr>
          <w:rFonts w:cs="Times New Roman"/>
          <w:color w:val="auto"/>
        </w:rPr>
        <w:t xml:space="preserve"> </w:t>
      </w:r>
      <w:r w:rsidR="003D076C" w:rsidRPr="003412BE">
        <w:rPr>
          <w:rFonts w:cs="Times New Roman"/>
          <w:u w:val="single"/>
        </w:rPr>
        <w:t>http://www.hybridpedagogy.com/journal/10-things-learned-from-making-a-meta-mooc/</w:t>
      </w:r>
    </w:p>
    <w:p w14:paraId="610C665C" w14:textId="3F8B3543" w:rsidR="00F87614" w:rsidRPr="003412BE" w:rsidRDefault="005B592A" w:rsidP="00B747EC">
      <w:pPr>
        <w:pStyle w:val="NoSpacing"/>
        <w:spacing w:before="20" w:after="60"/>
        <w:ind w:left="709" w:hanging="720"/>
        <w:rPr>
          <w:rFonts w:cs="Times New Roman"/>
          <w:color w:val="auto"/>
        </w:rPr>
      </w:pPr>
      <w:r w:rsidRPr="003412BE">
        <w:rPr>
          <w:rFonts w:cs="Times New Roman"/>
          <w:color w:val="auto"/>
        </w:rPr>
        <w:t>Department of Higher Education and Training</w:t>
      </w:r>
      <w:r w:rsidR="00C748FF" w:rsidRPr="003412BE">
        <w:rPr>
          <w:rFonts w:cs="Times New Roman"/>
          <w:color w:val="auto"/>
        </w:rPr>
        <w:t xml:space="preserve"> </w:t>
      </w:r>
      <w:r w:rsidR="00680AF6" w:rsidRPr="003412BE">
        <w:rPr>
          <w:rFonts w:cs="Times New Roman"/>
          <w:color w:val="auto"/>
        </w:rPr>
        <w:t>(2013)</w:t>
      </w:r>
      <w:r w:rsidR="00EA2C42" w:rsidRPr="003412BE">
        <w:rPr>
          <w:rFonts w:cs="Times New Roman"/>
          <w:color w:val="auto"/>
        </w:rPr>
        <w:t>.</w:t>
      </w:r>
      <w:r w:rsidRPr="003412BE">
        <w:rPr>
          <w:rFonts w:cs="Times New Roman"/>
          <w:color w:val="auto"/>
        </w:rPr>
        <w:t xml:space="preserve"> </w:t>
      </w:r>
      <w:r w:rsidRPr="003412BE">
        <w:rPr>
          <w:rFonts w:cs="Times New Roman"/>
          <w:i/>
          <w:color w:val="auto"/>
        </w:rPr>
        <w:t xml:space="preserve">White </w:t>
      </w:r>
      <w:r w:rsidR="008D2718" w:rsidRPr="003412BE">
        <w:rPr>
          <w:rFonts w:cs="Times New Roman"/>
          <w:i/>
          <w:color w:val="auto"/>
        </w:rPr>
        <w:t>p</w:t>
      </w:r>
      <w:r w:rsidRPr="003412BE">
        <w:rPr>
          <w:rFonts w:cs="Times New Roman"/>
          <w:i/>
          <w:color w:val="auto"/>
        </w:rPr>
        <w:t xml:space="preserve">aper for </w:t>
      </w:r>
      <w:r w:rsidR="008D2718" w:rsidRPr="003412BE">
        <w:rPr>
          <w:rFonts w:cs="Times New Roman"/>
          <w:i/>
          <w:color w:val="auto"/>
        </w:rPr>
        <w:t>p</w:t>
      </w:r>
      <w:r w:rsidRPr="003412BE">
        <w:rPr>
          <w:rFonts w:cs="Times New Roman"/>
          <w:i/>
          <w:color w:val="auto"/>
        </w:rPr>
        <w:t xml:space="preserve">ost </w:t>
      </w:r>
      <w:r w:rsidR="008D2718" w:rsidRPr="003412BE">
        <w:rPr>
          <w:rFonts w:cs="Times New Roman"/>
          <w:i/>
          <w:color w:val="auto"/>
        </w:rPr>
        <w:t>s</w:t>
      </w:r>
      <w:r w:rsidRPr="003412BE">
        <w:rPr>
          <w:rFonts w:cs="Times New Roman"/>
          <w:i/>
          <w:color w:val="auto"/>
        </w:rPr>
        <w:t xml:space="preserve">chool </w:t>
      </w:r>
      <w:r w:rsidR="008D2718" w:rsidRPr="003412BE">
        <w:rPr>
          <w:rFonts w:cs="Times New Roman"/>
          <w:i/>
          <w:color w:val="auto"/>
        </w:rPr>
        <w:t>e</w:t>
      </w:r>
      <w:r w:rsidRPr="003412BE">
        <w:rPr>
          <w:rFonts w:cs="Times New Roman"/>
          <w:i/>
          <w:color w:val="auto"/>
        </w:rPr>
        <w:t xml:space="preserve">ducation and </w:t>
      </w:r>
      <w:r w:rsidR="008D2718" w:rsidRPr="003412BE">
        <w:rPr>
          <w:rFonts w:cs="Times New Roman"/>
          <w:i/>
          <w:color w:val="auto"/>
        </w:rPr>
        <w:t>t</w:t>
      </w:r>
      <w:r w:rsidRPr="003412BE">
        <w:rPr>
          <w:rFonts w:cs="Times New Roman"/>
          <w:i/>
          <w:color w:val="auto"/>
        </w:rPr>
        <w:t>raining</w:t>
      </w:r>
      <w:r w:rsidR="007C1481" w:rsidRPr="003412BE">
        <w:rPr>
          <w:rFonts w:cs="Times New Roman"/>
          <w:i/>
          <w:color w:val="auto"/>
        </w:rPr>
        <w:t xml:space="preserve">: Building an expanded, effective and </w:t>
      </w:r>
      <w:r w:rsidR="00870EAE" w:rsidRPr="003412BE">
        <w:rPr>
          <w:rFonts w:cs="Times New Roman"/>
          <w:i/>
          <w:color w:val="auto"/>
        </w:rPr>
        <w:t>integrated</w:t>
      </w:r>
      <w:r w:rsidR="007C1481" w:rsidRPr="003412BE">
        <w:rPr>
          <w:rFonts w:cs="Times New Roman"/>
          <w:i/>
          <w:color w:val="auto"/>
        </w:rPr>
        <w:t xml:space="preserve"> post-school system.</w:t>
      </w:r>
      <w:r w:rsidR="00680AF6" w:rsidRPr="003412BE">
        <w:rPr>
          <w:rFonts w:cs="Times New Roman"/>
          <w:i/>
          <w:color w:val="auto"/>
        </w:rPr>
        <w:t xml:space="preserve"> </w:t>
      </w:r>
      <w:r w:rsidR="00196A1F" w:rsidRPr="003412BE">
        <w:rPr>
          <w:rFonts w:cs="Times New Roman"/>
          <w:color w:val="auto"/>
        </w:rPr>
        <w:t>Pretoria</w:t>
      </w:r>
      <w:r w:rsidR="009C5CE3" w:rsidRPr="003412BE">
        <w:rPr>
          <w:rFonts w:cs="Times New Roman"/>
          <w:color w:val="auto"/>
        </w:rPr>
        <w:t>: DHET.</w:t>
      </w:r>
      <w:r w:rsidRPr="003412BE">
        <w:rPr>
          <w:rFonts w:cs="Times New Roman"/>
          <w:color w:val="auto"/>
        </w:rPr>
        <w:t xml:space="preserve"> </w:t>
      </w:r>
      <w:r w:rsidR="00E74966" w:rsidRPr="003412BE">
        <w:rPr>
          <w:rFonts w:cs="Times New Roman"/>
          <w:color w:val="auto"/>
        </w:rPr>
        <w:t xml:space="preserve">Retreived from </w:t>
      </w:r>
      <w:r w:rsidR="007C1481" w:rsidRPr="003412BE">
        <w:rPr>
          <w:rFonts w:cs="Times New Roman"/>
          <w:color w:val="auto"/>
          <w:u w:val="single"/>
        </w:rPr>
        <w:t>http://www.dhet.gov.za/SiteAssets/Latest%20News/White%20paper%20for%20post-school%20education%20and%20training.pdf</w:t>
      </w:r>
    </w:p>
    <w:p w14:paraId="13B77FE2" w14:textId="5D0C3349" w:rsidR="00870EAE" w:rsidRPr="003412BE" w:rsidRDefault="005B592A" w:rsidP="00870EAE">
      <w:pPr>
        <w:pStyle w:val="NoSpacing"/>
        <w:spacing w:before="20" w:after="60"/>
        <w:ind w:left="709" w:hanging="720"/>
        <w:rPr>
          <w:rFonts w:cs="Times New Roman"/>
          <w:color w:val="auto"/>
        </w:rPr>
      </w:pPr>
      <w:r w:rsidRPr="003412BE">
        <w:rPr>
          <w:rFonts w:cs="Times New Roman"/>
          <w:color w:val="auto"/>
        </w:rPr>
        <w:t>Fisher</w:t>
      </w:r>
      <w:r w:rsidR="001153C6" w:rsidRPr="003412BE">
        <w:rPr>
          <w:rFonts w:cs="Times New Roman"/>
          <w:color w:val="auto"/>
        </w:rPr>
        <w:t>,</w:t>
      </w:r>
      <w:r w:rsidRPr="003412BE">
        <w:rPr>
          <w:rFonts w:cs="Times New Roman"/>
          <w:color w:val="auto"/>
        </w:rPr>
        <w:t xml:space="preserve"> G</w:t>
      </w:r>
      <w:r w:rsidR="001153C6" w:rsidRPr="003412BE">
        <w:rPr>
          <w:rFonts w:cs="Times New Roman"/>
          <w:color w:val="auto"/>
        </w:rPr>
        <w:t>.</w:t>
      </w:r>
      <w:r w:rsidRPr="003412BE">
        <w:rPr>
          <w:rFonts w:cs="Times New Roman"/>
          <w:color w:val="auto"/>
        </w:rPr>
        <w:t xml:space="preserve"> and Scott</w:t>
      </w:r>
      <w:r w:rsidR="001153C6" w:rsidRPr="003412BE">
        <w:rPr>
          <w:rFonts w:cs="Times New Roman"/>
          <w:color w:val="auto"/>
        </w:rPr>
        <w:t>, I.</w:t>
      </w:r>
      <w:r w:rsidRPr="003412BE">
        <w:rPr>
          <w:rFonts w:cs="Times New Roman"/>
          <w:color w:val="auto"/>
        </w:rPr>
        <w:t xml:space="preserve"> (2011</w:t>
      </w:r>
      <w:r w:rsidR="00C46180" w:rsidRPr="003412BE">
        <w:rPr>
          <w:rFonts w:cs="Times New Roman"/>
          <w:color w:val="auto"/>
        </w:rPr>
        <w:t>, October</w:t>
      </w:r>
      <w:r w:rsidRPr="003412BE">
        <w:rPr>
          <w:rFonts w:cs="Times New Roman"/>
          <w:color w:val="auto"/>
        </w:rPr>
        <w:t>)</w:t>
      </w:r>
      <w:r w:rsidR="00EA2C42" w:rsidRPr="003412BE">
        <w:rPr>
          <w:rFonts w:cs="Times New Roman"/>
          <w:color w:val="auto"/>
        </w:rPr>
        <w:t>.</w:t>
      </w:r>
      <w:r w:rsidRPr="003412BE">
        <w:rPr>
          <w:rFonts w:cs="Times New Roman"/>
          <w:color w:val="auto"/>
        </w:rPr>
        <w:t xml:space="preserve"> The </w:t>
      </w:r>
      <w:r w:rsidR="00C372EF" w:rsidRPr="003412BE">
        <w:rPr>
          <w:rFonts w:cs="Times New Roman"/>
          <w:color w:val="auto"/>
        </w:rPr>
        <w:t>r</w:t>
      </w:r>
      <w:r w:rsidRPr="003412BE">
        <w:rPr>
          <w:rFonts w:cs="Times New Roman"/>
          <w:color w:val="auto"/>
        </w:rPr>
        <w:t xml:space="preserve">ole of </w:t>
      </w:r>
      <w:r w:rsidR="0029117F" w:rsidRPr="003412BE">
        <w:rPr>
          <w:rFonts w:cs="Times New Roman"/>
          <w:color w:val="auto"/>
        </w:rPr>
        <w:t>Higher Education</w:t>
      </w:r>
      <w:r w:rsidRPr="003412BE">
        <w:rPr>
          <w:rFonts w:cs="Times New Roman"/>
          <w:color w:val="auto"/>
        </w:rPr>
        <w:t xml:space="preserve"> in </w:t>
      </w:r>
      <w:r w:rsidR="00C372EF" w:rsidRPr="003412BE">
        <w:rPr>
          <w:rFonts w:cs="Times New Roman"/>
          <w:color w:val="auto"/>
        </w:rPr>
        <w:t>c</w:t>
      </w:r>
      <w:r w:rsidRPr="003412BE">
        <w:rPr>
          <w:rFonts w:cs="Times New Roman"/>
          <w:color w:val="auto"/>
        </w:rPr>
        <w:t xml:space="preserve">losing the </w:t>
      </w:r>
      <w:r w:rsidR="00C372EF" w:rsidRPr="003412BE">
        <w:rPr>
          <w:rFonts w:cs="Times New Roman"/>
          <w:color w:val="auto"/>
        </w:rPr>
        <w:t>s</w:t>
      </w:r>
      <w:r w:rsidRPr="003412BE">
        <w:rPr>
          <w:rFonts w:cs="Times New Roman"/>
          <w:color w:val="auto"/>
        </w:rPr>
        <w:t xml:space="preserve">kills </w:t>
      </w:r>
      <w:r w:rsidR="00C372EF" w:rsidRPr="003412BE">
        <w:rPr>
          <w:rFonts w:cs="Times New Roman"/>
          <w:color w:val="auto"/>
        </w:rPr>
        <w:t>g</w:t>
      </w:r>
      <w:r w:rsidRPr="003412BE">
        <w:rPr>
          <w:rFonts w:cs="Times New Roman"/>
          <w:color w:val="auto"/>
        </w:rPr>
        <w:t>ap in South Africa</w:t>
      </w:r>
      <w:r w:rsidRPr="003412BE">
        <w:rPr>
          <w:rFonts w:cs="Times New Roman"/>
          <w:color w:val="auto"/>
          <w:u w:val="single"/>
        </w:rPr>
        <w:t xml:space="preserve"> T</w:t>
      </w:r>
      <w:r w:rsidRPr="003412BE">
        <w:rPr>
          <w:rFonts w:cs="Times New Roman"/>
          <w:color w:val="auto"/>
        </w:rPr>
        <w:t>he World Bank, Human Development Group, Africa Region</w:t>
      </w:r>
      <w:r w:rsidR="00C46180" w:rsidRPr="003412BE" w:rsidDel="00C46180">
        <w:rPr>
          <w:rFonts w:cs="Times New Roman"/>
          <w:color w:val="auto"/>
        </w:rPr>
        <w:t xml:space="preserve"> </w:t>
      </w:r>
      <w:r w:rsidRPr="003412BE">
        <w:rPr>
          <w:rFonts w:cs="Times New Roman"/>
          <w:color w:val="auto"/>
        </w:rPr>
        <w:t xml:space="preserve"> Background paper</w:t>
      </w:r>
      <w:r w:rsidR="00C46180" w:rsidRPr="003412BE">
        <w:rPr>
          <w:rFonts w:cs="Times New Roman"/>
          <w:color w:val="auto"/>
        </w:rPr>
        <w:t xml:space="preserve"> 3</w:t>
      </w:r>
      <w:r w:rsidRPr="003412BE">
        <w:rPr>
          <w:rFonts w:cs="Times New Roman"/>
          <w:color w:val="auto"/>
        </w:rPr>
        <w:t xml:space="preserve"> for the World Bank project Closing the Skills and Technology Gap in South Africa. </w:t>
      </w:r>
      <w:r w:rsidR="00C46180" w:rsidRPr="003412BE">
        <w:rPr>
          <w:rFonts w:cs="Times New Roman"/>
          <w:color w:val="auto"/>
        </w:rPr>
        <w:t xml:space="preserve">Retrieved from </w:t>
      </w:r>
      <w:r w:rsidR="00342630" w:rsidRPr="003412BE">
        <w:rPr>
          <w:rFonts w:cs="Times New Roman"/>
          <w:color w:val="auto"/>
          <w:u w:val="single"/>
        </w:rPr>
        <w:t>http://www.ched.uct.ac.za/usr/ched/docs/Fisher_Higher%20Education%20role.pdf</w:t>
      </w:r>
    </w:p>
    <w:p w14:paraId="39CA92F2" w14:textId="7EF159F0" w:rsidR="00342630" w:rsidRPr="003412BE" w:rsidRDefault="00342630" w:rsidP="00B747EC">
      <w:pPr>
        <w:pStyle w:val="NoSpacing"/>
        <w:spacing w:before="20" w:after="60"/>
        <w:ind w:left="709" w:hanging="720"/>
        <w:rPr>
          <w:rFonts w:cs="Times New Roman"/>
          <w:color w:val="auto"/>
        </w:rPr>
      </w:pPr>
      <w:r w:rsidRPr="003412BE">
        <w:rPr>
          <w:rFonts w:cs="Times New Roman"/>
          <w:color w:val="auto"/>
        </w:rPr>
        <w:t>Greaves, 2014, personal communication, 24 January 2014</w:t>
      </w:r>
    </w:p>
    <w:p w14:paraId="5BDDAA90" w14:textId="7EA03C39" w:rsidR="00F87614" w:rsidRPr="003412BE" w:rsidRDefault="0032104B" w:rsidP="00B747EC">
      <w:pPr>
        <w:pStyle w:val="NoSpacing"/>
        <w:spacing w:before="20" w:after="60"/>
        <w:ind w:left="720" w:hanging="720"/>
        <w:rPr>
          <w:rFonts w:cs="Times New Roman"/>
          <w:color w:val="auto"/>
        </w:rPr>
      </w:pPr>
      <w:r w:rsidRPr="003412BE">
        <w:rPr>
          <w:rFonts w:cs="Times New Roman"/>
          <w:color w:val="auto"/>
        </w:rPr>
        <w:t>Haber, J</w:t>
      </w:r>
      <w:r w:rsidR="005B592A" w:rsidRPr="003412BE">
        <w:rPr>
          <w:rFonts w:cs="Times New Roman"/>
          <w:color w:val="auto"/>
        </w:rPr>
        <w:t xml:space="preserve">. </w:t>
      </w:r>
      <w:r w:rsidR="00195D92" w:rsidRPr="003412BE">
        <w:rPr>
          <w:rFonts w:cs="Times New Roman"/>
          <w:color w:val="auto"/>
        </w:rPr>
        <w:t>(</w:t>
      </w:r>
      <w:r w:rsidR="005B592A" w:rsidRPr="003412BE">
        <w:rPr>
          <w:rFonts w:cs="Times New Roman"/>
          <w:color w:val="auto"/>
        </w:rPr>
        <w:t>2013</w:t>
      </w:r>
      <w:r w:rsidR="00E001B5" w:rsidRPr="003412BE">
        <w:rPr>
          <w:rFonts w:cs="Times New Roman"/>
          <w:color w:val="auto"/>
        </w:rPr>
        <w:t>, December 2</w:t>
      </w:r>
      <w:r w:rsidR="00195D92" w:rsidRPr="003412BE">
        <w:rPr>
          <w:rFonts w:cs="Times New Roman"/>
          <w:color w:val="auto"/>
        </w:rPr>
        <w:t>)</w:t>
      </w:r>
      <w:r w:rsidR="005B592A" w:rsidRPr="003412BE">
        <w:rPr>
          <w:rFonts w:cs="Times New Roman"/>
          <w:color w:val="auto"/>
        </w:rPr>
        <w:t xml:space="preserve"> </w:t>
      </w:r>
      <w:r w:rsidR="00EA2C42" w:rsidRPr="003412BE">
        <w:rPr>
          <w:rFonts w:cs="Times New Roman"/>
          <w:color w:val="auto"/>
        </w:rPr>
        <w:t>.</w:t>
      </w:r>
      <w:r w:rsidR="005B592A" w:rsidRPr="003412BE">
        <w:rPr>
          <w:rFonts w:cs="Times New Roman"/>
          <w:color w:val="auto"/>
        </w:rPr>
        <w:t xml:space="preserve">‘The MOOC backlash - Udacity’s Pivot. </w:t>
      </w:r>
      <w:r w:rsidR="00E001B5" w:rsidRPr="003412BE">
        <w:rPr>
          <w:rFonts w:cs="Times New Roman"/>
          <w:color w:val="auto"/>
        </w:rPr>
        <w:t>[Web log]</w:t>
      </w:r>
      <w:r w:rsidR="005B592A" w:rsidRPr="003412BE">
        <w:rPr>
          <w:rFonts w:cs="Times New Roman"/>
          <w:color w:val="auto"/>
        </w:rPr>
        <w:t xml:space="preserve"> </w:t>
      </w:r>
      <w:r w:rsidR="00E001B5" w:rsidRPr="003412BE">
        <w:rPr>
          <w:rFonts w:cs="Times New Roman"/>
          <w:color w:val="auto"/>
        </w:rPr>
        <w:t xml:space="preserve">. Retrieved from </w:t>
      </w:r>
      <w:r w:rsidR="002F514E">
        <w:fldChar w:fldCharType="begin"/>
      </w:r>
      <w:r w:rsidR="002F514E">
        <w:instrText xml:space="preserve"> HYPERLINK "http://www.huffingtonpost.com/jonathan-haber/the-mooc-backlash-udacity_b_4339487.html" \h </w:instrText>
      </w:r>
      <w:r w:rsidR="002F514E">
        <w:fldChar w:fldCharType="separate"/>
      </w:r>
      <w:r w:rsidR="005B592A" w:rsidRPr="003412BE">
        <w:rPr>
          <w:rFonts w:cs="Times New Roman"/>
          <w:color w:val="auto"/>
          <w:u w:val="single"/>
        </w:rPr>
        <w:t>http://www.huffingtonpost.com/jonathan-haber/the-mooc-backlash-udacity_b_4339487.html</w:t>
      </w:r>
      <w:r w:rsidR="002F514E">
        <w:rPr>
          <w:rFonts w:cs="Times New Roman"/>
          <w:color w:val="auto"/>
          <w:u w:val="single"/>
        </w:rPr>
        <w:fldChar w:fldCharType="end"/>
      </w:r>
      <w:r w:rsidR="005B592A" w:rsidRPr="003412BE">
        <w:rPr>
          <w:rFonts w:cs="Times New Roman"/>
          <w:color w:val="auto"/>
        </w:rPr>
        <w:t xml:space="preserve"> </w:t>
      </w:r>
    </w:p>
    <w:p w14:paraId="61E53ACA" w14:textId="6972CD8C" w:rsidR="00F87614" w:rsidRPr="003412BE" w:rsidRDefault="0032104B" w:rsidP="00B747EC">
      <w:pPr>
        <w:pStyle w:val="NoSpacing"/>
        <w:spacing w:before="20" w:after="60"/>
        <w:ind w:left="720" w:hanging="720"/>
        <w:rPr>
          <w:rFonts w:cs="Times New Roman"/>
          <w:color w:val="auto"/>
        </w:rPr>
      </w:pPr>
      <w:r w:rsidRPr="003412BE">
        <w:rPr>
          <w:rFonts w:cs="Times New Roman"/>
          <w:color w:val="auto"/>
        </w:rPr>
        <w:t>Hall, M</w:t>
      </w:r>
      <w:r w:rsidR="005B592A" w:rsidRPr="003412BE">
        <w:rPr>
          <w:rFonts w:cs="Times New Roman"/>
          <w:color w:val="auto"/>
        </w:rPr>
        <w:t xml:space="preserve">. </w:t>
      </w:r>
      <w:r w:rsidR="00195D92" w:rsidRPr="003412BE">
        <w:rPr>
          <w:rFonts w:cs="Times New Roman"/>
          <w:color w:val="auto"/>
        </w:rPr>
        <w:t>(</w:t>
      </w:r>
      <w:r w:rsidR="005B592A" w:rsidRPr="003412BE">
        <w:rPr>
          <w:rFonts w:cs="Times New Roman"/>
          <w:color w:val="auto"/>
        </w:rPr>
        <w:t>2014</w:t>
      </w:r>
      <w:r w:rsidR="00E001B5" w:rsidRPr="003412BE">
        <w:rPr>
          <w:rFonts w:cs="Times New Roman"/>
          <w:color w:val="auto"/>
        </w:rPr>
        <w:t>, February 3</w:t>
      </w:r>
      <w:r w:rsidR="00195D92" w:rsidRPr="003412BE">
        <w:rPr>
          <w:rFonts w:cs="Times New Roman"/>
          <w:color w:val="auto"/>
        </w:rPr>
        <w:t>)</w:t>
      </w:r>
      <w:r w:rsidR="00EA2C42" w:rsidRPr="003412BE">
        <w:rPr>
          <w:rFonts w:cs="Times New Roman"/>
          <w:color w:val="auto"/>
        </w:rPr>
        <w:t>.</w:t>
      </w:r>
      <w:r w:rsidR="005B592A" w:rsidRPr="003412BE">
        <w:rPr>
          <w:rFonts w:cs="Times New Roman"/>
          <w:color w:val="auto"/>
        </w:rPr>
        <w:t xml:space="preserve"> MOOCs: What have we learned?</w:t>
      </w:r>
      <w:r w:rsidR="00B20EDA" w:rsidRPr="003412BE">
        <w:rPr>
          <w:rFonts w:cs="Times New Roman"/>
          <w:color w:val="auto"/>
        </w:rPr>
        <w:t xml:space="preserve"> </w:t>
      </w:r>
      <w:r w:rsidR="005B592A" w:rsidRPr="003412BE">
        <w:rPr>
          <w:rFonts w:cs="Times New Roman"/>
          <w:color w:val="auto"/>
        </w:rPr>
        <w:t xml:space="preserve"> </w:t>
      </w:r>
      <w:r w:rsidR="00B20EDA" w:rsidRPr="003412BE">
        <w:rPr>
          <w:rFonts w:cs="Times New Roman"/>
          <w:color w:val="auto"/>
        </w:rPr>
        <w:t>[Web log</w:t>
      </w:r>
      <w:r w:rsidR="00E001B5" w:rsidRPr="003412BE">
        <w:rPr>
          <w:rFonts w:cs="Times New Roman"/>
          <w:color w:val="auto"/>
        </w:rPr>
        <w:t>]</w:t>
      </w:r>
      <w:r w:rsidR="005B592A" w:rsidRPr="003412BE">
        <w:rPr>
          <w:rFonts w:cs="Times New Roman"/>
          <w:color w:val="auto"/>
        </w:rPr>
        <w:t xml:space="preserve">  </w:t>
      </w:r>
      <w:hyperlink r:id="rId17">
        <w:r w:rsidR="00B20EDA" w:rsidRPr="003412BE">
          <w:rPr>
            <w:rFonts w:cs="Times New Roman"/>
            <w:color w:val="auto"/>
            <w:u w:val="single"/>
          </w:rPr>
          <w:t xml:space="preserve"> Retrieved from </w:t>
        </w:r>
        <w:r w:rsidR="005B592A" w:rsidRPr="003412BE">
          <w:rPr>
            <w:rFonts w:cs="Times New Roman"/>
            <w:color w:val="auto"/>
            <w:u w:val="single"/>
          </w:rPr>
          <w:t>http://blogs.salford.ac.uk/martin-hall/moocs-learned/</w:t>
        </w:r>
      </w:hyperlink>
      <w:r w:rsidR="005B592A" w:rsidRPr="003412BE">
        <w:rPr>
          <w:rFonts w:cs="Times New Roman"/>
          <w:color w:val="auto"/>
        </w:rPr>
        <w:t>.</w:t>
      </w:r>
    </w:p>
    <w:p w14:paraId="320D477A" w14:textId="38186058" w:rsidR="00F87614" w:rsidRPr="003412BE" w:rsidRDefault="005B592A" w:rsidP="00B747EC">
      <w:pPr>
        <w:pStyle w:val="NoSpacing"/>
        <w:spacing w:before="20" w:after="60"/>
        <w:ind w:left="720" w:hanging="720"/>
        <w:rPr>
          <w:rFonts w:cs="Times New Roman"/>
          <w:color w:val="auto"/>
        </w:rPr>
      </w:pPr>
      <w:r w:rsidRPr="003412BE">
        <w:rPr>
          <w:rFonts w:cs="Times New Roman"/>
          <w:color w:val="auto"/>
        </w:rPr>
        <w:t xml:space="preserve">Higgins, J. (2013). Academic freedom in a democratic South Africa: Essays and interviews on </w:t>
      </w:r>
      <w:r w:rsidR="0029117F" w:rsidRPr="003412BE">
        <w:rPr>
          <w:rFonts w:cs="Times New Roman"/>
          <w:color w:val="auto"/>
        </w:rPr>
        <w:t>Higher Education</w:t>
      </w:r>
      <w:r w:rsidRPr="003412BE">
        <w:rPr>
          <w:rFonts w:cs="Times New Roman"/>
          <w:color w:val="auto"/>
        </w:rPr>
        <w:t xml:space="preserve"> and the humanities. Wits University Press: Johannesburg. </w:t>
      </w:r>
    </w:p>
    <w:p w14:paraId="4F83CF25" w14:textId="571BB002" w:rsidR="00926C8D" w:rsidRPr="003412BE" w:rsidRDefault="00926C8D" w:rsidP="00300B98">
      <w:pPr>
        <w:pStyle w:val="NoSpacing"/>
        <w:ind w:left="720" w:hanging="720"/>
        <w:rPr>
          <w:rFonts w:cs="Times New Roman"/>
        </w:rPr>
      </w:pPr>
      <w:r w:rsidRPr="003412BE">
        <w:rPr>
          <w:rFonts w:cs="Times New Roman"/>
        </w:rPr>
        <w:t xml:space="preserve">Hollands, F.M. &amp; Tirthali, D.(2014). </w:t>
      </w:r>
      <w:r w:rsidRPr="003412BE">
        <w:rPr>
          <w:rFonts w:cs="Times New Roman"/>
          <w:i/>
          <w:iCs/>
        </w:rPr>
        <w:t>MOOCs: Expectations and Reality</w:t>
      </w:r>
      <w:r w:rsidRPr="003412BE">
        <w:rPr>
          <w:rFonts w:cs="Times New Roman"/>
        </w:rPr>
        <w:t xml:space="preserve"> New York: Center for Benefit-Cost Studies of Education Teachers College, Columbia Uni</w:t>
      </w:r>
      <w:r w:rsidR="00870EAE" w:rsidRPr="003412BE">
        <w:rPr>
          <w:rFonts w:cs="Times New Roman"/>
        </w:rPr>
        <w:t xml:space="preserve">versity. Retrieved </w:t>
      </w:r>
      <w:r w:rsidRPr="003412BE">
        <w:rPr>
          <w:rFonts w:cs="Times New Roman"/>
        </w:rPr>
        <w:t xml:space="preserve">from </w:t>
      </w:r>
      <w:r w:rsidRPr="003412BE">
        <w:rPr>
          <w:rFonts w:cs="Times New Roman"/>
          <w:u w:val="single"/>
        </w:rPr>
        <w:t>http://cbcse.org/wordpress/wp-content/uploads/2014/05/MOOCs_Expectations_and_Reality.pdf</w:t>
      </w:r>
    </w:p>
    <w:p w14:paraId="427BE2F8" w14:textId="2F8B16DA" w:rsidR="00F87614" w:rsidRPr="003412BE" w:rsidRDefault="005B592A" w:rsidP="00B747EC">
      <w:pPr>
        <w:pStyle w:val="NoSpacing"/>
        <w:spacing w:before="20" w:after="60"/>
        <w:ind w:left="720" w:hanging="720"/>
        <w:rPr>
          <w:rFonts w:cs="Times New Roman"/>
          <w:color w:val="auto"/>
        </w:rPr>
      </w:pPr>
      <w:r w:rsidRPr="003412BE">
        <w:rPr>
          <w:rFonts w:cs="Times New Roman"/>
          <w:color w:val="auto"/>
        </w:rPr>
        <w:t>Jegede, O</w:t>
      </w:r>
      <w:r w:rsidR="006B1899" w:rsidRPr="003412BE">
        <w:rPr>
          <w:rFonts w:cs="Times New Roman"/>
          <w:color w:val="auto"/>
        </w:rPr>
        <w:t>.</w:t>
      </w:r>
      <w:r w:rsidRPr="003412BE">
        <w:rPr>
          <w:rFonts w:cs="Times New Roman"/>
          <w:color w:val="auto"/>
        </w:rPr>
        <w:t xml:space="preserve"> (2012</w:t>
      </w:r>
      <w:r w:rsidR="00801C30" w:rsidRPr="003412BE">
        <w:rPr>
          <w:rFonts w:cs="Times New Roman"/>
          <w:color w:val="auto"/>
        </w:rPr>
        <w:t>, February 1</w:t>
      </w:r>
      <w:r w:rsidRPr="003412BE">
        <w:rPr>
          <w:rFonts w:cs="Times New Roman"/>
          <w:color w:val="auto"/>
        </w:rPr>
        <w:t>)</w:t>
      </w:r>
      <w:r w:rsidR="00EA2C42" w:rsidRPr="003412BE">
        <w:rPr>
          <w:rFonts w:cs="Times New Roman"/>
          <w:color w:val="auto"/>
        </w:rPr>
        <w:t>.</w:t>
      </w:r>
      <w:r w:rsidRPr="003412BE">
        <w:rPr>
          <w:rFonts w:cs="Times New Roman"/>
          <w:color w:val="auto"/>
        </w:rPr>
        <w:t xml:space="preserve"> The </w:t>
      </w:r>
      <w:r w:rsidR="00801C30" w:rsidRPr="003412BE">
        <w:rPr>
          <w:rFonts w:cs="Times New Roman"/>
          <w:color w:val="auto"/>
        </w:rPr>
        <w:t>s</w:t>
      </w:r>
      <w:r w:rsidRPr="003412BE">
        <w:rPr>
          <w:rFonts w:cs="Times New Roman"/>
          <w:color w:val="auto"/>
        </w:rPr>
        <w:t xml:space="preserve">tatus of </w:t>
      </w:r>
      <w:r w:rsidR="0029117F" w:rsidRPr="003412BE">
        <w:rPr>
          <w:rFonts w:cs="Times New Roman"/>
          <w:color w:val="auto"/>
        </w:rPr>
        <w:t>Higher Education</w:t>
      </w:r>
      <w:r w:rsidRPr="003412BE">
        <w:rPr>
          <w:rFonts w:cs="Times New Roman"/>
          <w:color w:val="auto"/>
        </w:rPr>
        <w:t xml:space="preserve"> in Africa</w:t>
      </w:r>
      <w:r w:rsidR="0089567F" w:rsidRPr="003412BE">
        <w:rPr>
          <w:rFonts w:cs="Times New Roman"/>
          <w:color w:val="auto"/>
        </w:rPr>
        <w:t>.</w:t>
      </w:r>
      <w:r w:rsidRPr="003412BE">
        <w:rPr>
          <w:rFonts w:cs="Times New Roman"/>
          <w:color w:val="auto"/>
        </w:rPr>
        <w:t xml:space="preserve"> </w:t>
      </w:r>
      <w:r w:rsidR="0089567F" w:rsidRPr="003412BE">
        <w:rPr>
          <w:rFonts w:cs="Times New Roman"/>
          <w:color w:val="auto"/>
        </w:rPr>
        <w:t>P</w:t>
      </w:r>
      <w:r w:rsidRPr="003412BE">
        <w:rPr>
          <w:rFonts w:cs="Times New Roman"/>
          <w:color w:val="auto"/>
        </w:rPr>
        <w:t xml:space="preserve">aper for </w:t>
      </w:r>
      <w:r w:rsidR="0089567F" w:rsidRPr="003412BE">
        <w:rPr>
          <w:rFonts w:cs="Times New Roman"/>
          <w:color w:val="auto"/>
        </w:rPr>
        <w:t>p</w:t>
      </w:r>
      <w:r w:rsidRPr="003412BE">
        <w:rPr>
          <w:rFonts w:cs="Times New Roman"/>
          <w:color w:val="auto"/>
        </w:rPr>
        <w:t xml:space="preserve">anel </w:t>
      </w:r>
      <w:r w:rsidR="0089567F" w:rsidRPr="003412BE">
        <w:rPr>
          <w:rFonts w:cs="Times New Roman"/>
          <w:color w:val="auto"/>
        </w:rPr>
        <w:t>d</w:t>
      </w:r>
      <w:r w:rsidRPr="003412BE">
        <w:rPr>
          <w:rFonts w:cs="Times New Roman"/>
          <w:color w:val="auto"/>
        </w:rPr>
        <w:t xml:space="preserve">iscussion in the </w:t>
      </w:r>
      <w:r w:rsidR="0089567F" w:rsidRPr="003412BE">
        <w:rPr>
          <w:rFonts w:cs="Times New Roman"/>
          <w:color w:val="auto"/>
        </w:rPr>
        <w:t>l</w:t>
      </w:r>
      <w:r w:rsidRPr="003412BE">
        <w:rPr>
          <w:rFonts w:cs="Times New Roman"/>
          <w:color w:val="auto"/>
        </w:rPr>
        <w:t xml:space="preserve">aunch of </w:t>
      </w:r>
      <w:r w:rsidRPr="003412BE">
        <w:rPr>
          <w:rFonts w:cs="Times New Roman"/>
          <w:i/>
          <w:color w:val="auto"/>
        </w:rPr>
        <w:t>Weaving Success: Voices of Change in African Higher Education</w:t>
      </w:r>
      <w:r w:rsidRPr="003412BE">
        <w:rPr>
          <w:rFonts w:cs="Times New Roman"/>
          <w:color w:val="auto"/>
        </w:rPr>
        <w:t xml:space="preserve">- A project of the </w:t>
      </w:r>
      <w:r w:rsidR="00C748FF" w:rsidRPr="003412BE">
        <w:rPr>
          <w:rFonts w:cs="Times New Roman"/>
          <w:color w:val="auto"/>
        </w:rPr>
        <w:t>p</w:t>
      </w:r>
      <w:r w:rsidRPr="003412BE">
        <w:rPr>
          <w:rFonts w:cs="Times New Roman"/>
          <w:color w:val="auto"/>
        </w:rPr>
        <w:t xml:space="preserve">artnership for </w:t>
      </w:r>
      <w:r w:rsidR="0029117F" w:rsidRPr="003412BE">
        <w:rPr>
          <w:rFonts w:cs="Times New Roman"/>
          <w:color w:val="auto"/>
        </w:rPr>
        <w:t>Higher Education</w:t>
      </w:r>
      <w:r w:rsidRPr="003412BE">
        <w:rPr>
          <w:rFonts w:cs="Times New Roman"/>
          <w:color w:val="auto"/>
        </w:rPr>
        <w:t xml:space="preserve"> in Africa (PHEA) held at the Institute of International Education, New York</w:t>
      </w:r>
      <w:r w:rsidR="0089567F" w:rsidRPr="003412BE">
        <w:rPr>
          <w:rFonts w:cs="Times New Roman"/>
          <w:color w:val="auto"/>
        </w:rPr>
        <w:t>.</w:t>
      </w:r>
      <w:r w:rsidRPr="003412BE">
        <w:rPr>
          <w:rFonts w:cs="Times New Roman"/>
          <w:color w:val="auto"/>
        </w:rPr>
        <w:t xml:space="preserve"> </w:t>
      </w:r>
    </w:p>
    <w:p w14:paraId="25BF2128" w14:textId="05F86DB0" w:rsidR="00F87614" w:rsidRPr="003412BE" w:rsidRDefault="0032104B" w:rsidP="00B747EC">
      <w:pPr>
        <w:pStyle w:val="NoSpacing"/>
        <w:spacing w:before="20" w:after="60"/>
        <w:ind w:left="720" w:hanging="720"/>
        <w:rPr>
          <w:rFonts w:cs="Times New Roman"/>
          <w:color w:val="auto"/>
          <w:u w:val="single"/>
        </w:rPr>
      </w:pPr>
      <w:r w:rsidRPr="003412BE">
        <w:rPr>
          <w:rFonts w:cs="Times New Roman"/>
          <w:color w:val="auto"/>
        </w:rPr>
        <w:t>Koller, D</w:t>
      </w:r>
      <w:r w:rsidR="005B592A" w:rsidRPr="003412BE">
        <w:rPr>
          <w:rFonts w:cs="Times New Roman"/>
          <w:color w:val="auto"/>
        </w:rPr>
        <w:t xml:space="preserve">. </w:t>
      </w:r>
      <w:r w:rsidR="00B20EDA" w:rsidRPr="003412BE">
        <w:rPr>
          <w:rFonts w:cs="Times New Roman"/>
          <w:color w:val="auto"/>
        </w:rPr>
        <w:t>(</w:t>
      </w:r>
      <w:r w:rsidR="005B592A" w:rsidRPr="003412BE">
        <w:rPr>
          <w:rFonts w:cs="Times New Roman"/>
          <w:color w:val="auto"/>
        </w:rPr>
        <w:t>2014</w:t>
      </w:r>
      <w:r w:rsidR="00E001B5" w:rsidRPr="003412BE">
        <w:rPr>
          <w:rFonts w:cs="Times New Roman"/>
          <w:color w:val="auto"/>
        </w:rPr>
        <w:t>, January 30</w:t>
      </w:r>
      <w:r w:rsidR="00B20EDA" w:rsidRPr="003412BE">
        <w:rPr>
          <w:rFonts w:cs="Times New Roman"/>
          <w:color w:val="auto"/>
        </w:rPr>
        <w:t>)</w:t>
      </w:r>
      <w:r w:rsidR="005B592A" w:rsidRPr="003412BE">
        <w:rPr>
          <w:rFonts w:cs="Times New Roman"/>
          <w:color w:val="auto"/>
        </w:rPr>
        <w:t xml:space="preserve">. </w:t>
      </w:r>
      <w:r w:rsidR="00B20EDA" w:rsidRPr="003412BE">
        <w:rPr>
          <w:rFonts w:cs="Times New Roman"/>
          <w:color w:val="auto"/>
        </w:rPr>
        <w:t xml:space="preserve"> </w:t>
      </w:r>
      <w:r w:rsidR="005B592A" w:rsidRPr="003412BE">
        <w:rPr>
          <w:rFonts w:cs="Times New Roman"/>
          <w:color w:val="auto"/>
        </w:rPr>
        <w:t>Why 259,969 people taking the same class at the same time might just be the future of education</w:t>
      </w:r>
      <w:r w:rsidR="00B20EDA" w:rsidRPr="003412BE">
        <w:rPr>
          <w:rFonts w:cs="Times New Roman"/>
          <w:color w:val="auto"/>
        </w:rPr>
        <w:t xml:space="preserve"> [Web log</w:t>
      </w:r>
      <w:r w:rsidR="00B20EDA" w:rsidRPr="003412BE">
        <w:rPr>
          <w:rFonts w:cs="Times New Roman"/>
        </w:rPr>
        <w:t xml:space="preserve">] Retrieved from </w:t>
      </w:r>
      <w:r w:rsidR="00B20EDA" w:rsidRPr="003412BE">
        <w:rPr>
          <w:rFonts w:cs="Times New Roman"/>
          <w:u w:val="single"/>
        </w:rPr>
        <w:t>http://blog.ted.com/2014/01/30/daphne-koller-on-the-future-of-education/</w:t>
      </w:r>
    </w:p>
    <w:p w14:paraId="3067C5F0" w14:textId="77777777" w:rsidR="00F87614" w:rsidRPr="003412BE" w:rsidRDefault="005B592A" w:rsidP="00B747EC">
      <w:pPr>
        <w:pStyle w:val="NoSpacing"/>
        <w:spacing w:before="20" w:after="60"/>
        <w:ind w:left="720" w:hanging="720"/>
        <w:rPr>
          <w:rFonts w:cs="Times New Roman"/>
          <w:color w:val="auto"/>
        </w:rPr>
      </w:pPr>
      <w:r w:rsidRPr="003412BE">
        <w:rPr>
          <w:rFonts w:cs="Times New Roman"/>
          <w:color w:val="auto"/>
        </w:rPr>
        <w:t xml:space="preserve">Letseka, M. and Maile, S. </w:t>
      </w:r>
      <w:r w:rsidR="0089567F" w:rsidRPr="003412BE">
        <w:rPr>
          <w:rFonts w:cs="Times New Roman"/>
          <w:color w:val="auto"/>
        </w:rPr>
        <w:t>(</w:t>
      </w:r>
      <w:r w:rsidRPr="003412BE">
        <w:rPr>
          <w:rFonts w:cs="Times New Roman"/>
          <w:color w:val="auto"/>
        </w:rPr>
        <w:t>2008</w:t>
      </w:r>
      <w:r w:rsidR="001536B6" w:rsidRPr="003412BE">
        <w:rPr>
          <w:rFonts w:cs="Times New Roman"/>
          <w:color w:val="auto"/>
        </w:rPr>
        <w:t>, March</w:t>
      </w:r>
      <w:r w:rsidR="0089567F" w:rsidRPr="003412BE">
        <w:rPr>
          <w:rFonts w:cs="Times New Roman"/>
          <w:color w:val="auto"/>
        </w:rPr>
        <w:t>)</w:t>
      </w:r>
      <w:r w:rsidRPr="003412BE">
        <w:rPr>
          <w:rFonts w:cs="Times New Roman"/>
          <w:color w:val="auto"/>
        </w:rPr>
        <w:t xml:space="preserve">. High </w:t>
      </w:r>
      <w:r w:rsidR="0089567F" w:rsidRPr="003412BE">
        <w:rPr>
          <w:rFonts w:cs="Times New Roman"/>
          <w:color w:val="auto"/>
        </w:rPr>
        <w:t>u</w:t>
      </w:r>
      <w:r w:rsidRPr="003412BE">
        <w:rPr>
          <w:rFonts w:cs="Times New Roman"/>
          <w:color w:val="auto"/>
        </w:rPr>
        <w:t xml:space="preserve">niversity drop-out rates: a threat to South Africa’s future. </w:t>
      </w:r>
      <w:r w:rsidRPr="003412BE">
        <w:rPr>
          <w:rFonts w:cs="Times New Roman"/>
          <w:i/>
          <w:color w:val="auto"/>
        </w:rPr>
        <w:t>HSRC Policy Brief.</w:t>
      </w:r>
      <w:r w:rsidR="00206EEB" w:rsidRPr="003412BE">
        <w:rPr>
          <w:rFonts w:cs="Times New Roman"/>
        </w:rPr>
        <w:fldChar w:fldCharType="begin"/>
      </w:r>
      <w:r w:rsidR="00206EEB" w:rsidRPr="003412BE">
        <w:rPr>
          <w:rFonts w:cs="Times New Roman"/>
        </w:rPr>
        <w:instrText xml:space="preserve"> HYPERLINK "http://www.hsrc.ac.za/" \h </w:instrText>
      </w:r>
      <w:r w:rsidR="00206EEB" w:rsidRPr="003412BE">
        <w:rPr>
          <w:rFonts w:cs="Times New Roman"/>
        </w:rPr>
        <w:fldChar w:fldCharType="separate"/>
      </w:r>
      <w:r w:rsidRPr="003412BE">
        <w:rPr>
          <w:rFonts w:cs="Times New Roman"/>
          <w:color w:val="auto"/>
          <w:u w:val="single"/>
        </w:rPr>
        <w:t xml:space="preserve"> www.hsrc.ac.za</w:t>
      </w:r>
      <w:r w:rsidR="00206EEB" w:rsidRPr="003412BE">
        <w:rPr>
          <w:rFonts w:cs="Times New Roman"/>
          <w:color w:val="auto"/>
          <w:u w:val="single"/>
        </w:rPr>
        <w:fldChar w:fldCharType="end"/>
      </w:r>
      <w:r w:rsidRPr="003412BE">
        <w:rPr>
          <w:rFonts w:cs="Times New Roman"/>
          <w:color w:val="auto"/>
        </w:rPr>
        <w:t xml:space="preserve">. </w:t>
      </w:r>
    </w:p>
    <w:p w14:paraId="501A01FD" w14:textId="77777777" w:rsidR="00F87614" w:rsidRPr="003412BE" w:rsidRDefault="005B592A" w:rsidP="00B747EC">
      <w:pPr>
        <w:pStyle w:val="NoSpacing"/>
        <w:spacing w:before="20" w:after="60"/>
        <w:ind w:left="720" w:hanging="720"/>
        <w:rPr>
          <w:rFonts w:cs="Times New Roman"/>
          <w:color w:val="auto"/>
        </w:rPr>
      </w:pPr>
      <w:r w:rsidRPr="003412BE">
        <w:rPr>
          <w:rFonts w:cs="Times New Roman"/>
          <w:color w:val="auto"/>
        </w:rPr>
        <w:t xml:space="preserve">Marshall, S. J. (2013). Evaluating the strategic and leadership challenges of MOOCs. </w:t>
      </w:r>
      <w:r w:rsidRPr="003412BE">
        <w:rPr>
          <w:rFonts w:cs="Times New Roman"/>
          <w:i/>
          <w:color w:val="auto"/>
        </w:rPr>
        <w:t>MERLOT Journal of Online Learning and Teaching, 9</w:t>
      </w:r>
      <w:r w:rsidRPr="003412BE">
        <w:rPr>
          <w:rFonts w:cs="Times New Roman"/>
          <w:color w:val="auto"/>
        </w:rPr>
        <w:t xml:space="preserve">(2), 216-227. </w:t>
      </w:r>
      <w:r w:rsidR="00FA7473" w:rsidRPr="003412BE">
        <w:rPr>
          <w:rFonts w:cs="Times New Roman"/>
          <w:color w:val="auto"/>
        </w:rPr>
        <w:t xml:space="preserve">Retrieved </w:t>
      </w:r>
      <w:r w:rsidRPr="003412BE">
        <w:rPr>
          <w:rFonts w:cs="Times New Roman"/>
          <w:color w:val="auto"/>
        </w:rPr>
        <w:t>from</w:t>
      </w:r>
      <w:hyperlink r:id="rId18">
        <w:r w:rsidRPr="003412BE">
          <w:rPr>
            <w:rFonts w:cs="Times New Roman"/>
            <w:color w:val="auto"/>
            <w:u w:val="single"/>
          </w:rPr>
          <w:t xml:space="preserve"> http://jolt.merlot.org/vol9no2/marshall_0613.htm</w:t>
        </w:r>
      </w:hyperlink>
      <w:r w:rsidRPr="003412BE">
        <w:rPr>
          <w:rFonts w:cs="Times New Roman"/>
          <w:color w:val="auto"/>
        </w:rPr>
        <w:t xml:space="preserve"> </w:t>
      </w:r>
    </w:p>
    <w:p w14:paraId="46FC6EB4" w14:textId="14124940" w:rsidR="0015544B" w:rsidRPr="003412BE" w:rsidRDefault="0032104B" w:rsidP="00D61B89">
      <w:pPr>
        <w:pStyle w:val="NoSpacing"/>
        <w:spacing w:before="20" w:after="60"/>
        <w:ind w:left="720" w:hanging="720"/>
        <w:rPr>
          <w:rFonts w:eastAsiaTheme="minorEastAsia" w:cs="Times New Roman"/>
          <w:lang w:val="en-US"/>
        </w:rPr>
      </w:pPr>
      <w:r w:rsidRPr="003412BE">
        <w:rPr>
          <w:rFonts w:cs="Times New Roman"/>
          <w:color w:val="auto"/>
        </w:rPr>
        <w:t>Moser-Mercer, B</w:t>
      </w:r>
      <w:r w:rsidR="005B592A" w:rsidRPr="003412BE">
        <w:rPr>
          <w:rFonts w:cs="Times New Roman"/>
          <w:color w:val="auto"/>
        </w:rPr>
        <w:t xml:space="preserve">. </w:t>
      </w:r>
      <w:r w:rsidR="00B20EDA" w:rsidRPr="003412BE">
        <w:rPr>
          <w:rFonts w:cs="Times New Roman"/>
          <w:color w:val="auto"/>
        </w:rPr>
        <w:t>(</w:t>
      </w:r>
      <w:r w:rsidR="005B592A" w:rsidRPr="003412BE">
        <w:rPr>
          <w:rFonts w:cs="Times New Roman"/>
          <w:color w:val="auto"/>
        </w:rPr>
        <w:t>2014</w:t>
      </w:r>
      <w:r w:rsidR="00B20EDA" w:rsidRPr="003412BE">
        <w:rPr>
          <w:rFonts w:cs="Times New Roman"/>
          <w:color w:val="auto"/>
        </w:rPr>
        <w:t>)</w:t>
      </w:r>
      <w:r w:rsidR="00EA2C42" w:rsidRPr="003412BE">
        <w:rPr>
          <w:rFonts w:cs="Times New Roman"/>
          <w:color w:val="auto"/>
        </w:rPr>
        <w:t>.</w:t>
      </w:r>
      <w:r w:rsidR="00B20EDA" w:rsidRPr="003412BE">
        <w:rPr>
          <w:rFonts w:cs="Times New Roman"/>
          <w:color w:val="auto"/>
        </w:rPr>
        <w:t xml:space="preserve"> </w:t>
      </w:r>
      <w:r w:rsidR="005B592A" w:rsidRPr="003412BE">
        <w:rPr>
          <w:rFonts w:cs="Times New Roman"/>
          <w:color w:val="auto"/>
        </w:rPr>
        <w:t xml:space="preserve">‘MOOCs in fragile contexts’, in Proceedings of the European MOOC Stakeholder Summit  (EMOOCs 2014) Cress, U &amp; Kloos, C.D. , (Proceedings editors), p114 </w:t>
      </w:r>
      <w:r w:rsidR="002F514E">
        <w:fldChar w:fldCharType="begin"/>
      </w:r>
      <w:r w:rsidR="002F514E">
        <w:instrText xml:space="preserve"> HYPERLINK "http://www.emoocs2014.eu/sites/default/files/Proceedings-Moocs-Summit-2014.pdf" \h </w:instrText>
      </w:r>
      <w:r w:rsidR="002F514E">
        <w:fldChar w:fldCharType="separate"/>
      </w:r>
      <w:r w:rsidR="005B592A" w:rsidRPr="003412BE">
        <w:rPr>
          <w:rFonts w:cs="Times New Roman"/>
          <w:color w:val="auto"/>
          <w:u w:val="single"/>
        </w:rPr>
        <w:t>http://www.emoocs2014.eu/sites/default/files/Proceedings-Moocs-Summit-2014.pdf</w:t>
      </w:r>
      <w:r w:rsidR="002F514E">
        <w:rPr>
          <w:rFonts w:cs="Times New Roman"/>
          <w:color w:val="auto"/>
          <w:u w:val="single"/>
        </w:rPr>
        <w:fldChar w:fldCharType="end"/>
      </w:r>
      <w:r w:rsidR="005B592A" w:rsidRPr="003412BE">
        <w:rPr>
          <w:rFonts w:cs="Times New Roman"/>
          <w:color w:val="auto"/>
        </w:rPr>
        <w:t xml:space="preserve"> </w:t>
      </w:r>
    </w:p>
    <w:p w14:paraId="5D2FD90A" w14:textId="370A1D5F" w:rsidR="001F4E8A" w:rsidRPr="003412BE" w:rsidRDefault="001F4E8A" w:rsidP="001F4E8A">
      <w:pPr>
        <w:pStyle w:val="NoSpacing"/>
        <w:ind w:left="720" w:hanging="720"/>
        <w:rPr>
          <w:rFonts w:eastAsiaTheme="minorEastAsia" w:cs="Times New Roman"/>
          <w:lang w:val="en-US"/>
        </w:rPr>
      </w:pPr>
      <w:r w:rsidRPr="003412BE">
        <w:rPr>
          <w:rFonts w:eastAsiaTheme="minorEastAsia" w:cs="Times New Roman"/>
          <w:bCs/>
        </w:rPr>
        <w:t>Olds, K</w:t>
      </w:r>
      <w:r w:rsidR="00B20EDA" w:rsidRPr="003412BE">
        <w:rPr>
          <w:rFonts w:eastAsiaTheme="minorEastAsia" w:cs="Times New Roman"/>
          <w:bCs/>
        </w:rPr>
        <w:t>.</w:t>
      </w:r>
      <w:r w:rsidRPr="003412BE">
        <w:rPr>
          <w:rFonts w:eastAsiaTheme="minorEastAsia" w:cs="Times New Roman"/>
          <w:bCs/>
        </w:rPr>
        <w:t xml:space="preserve"> (2013)</w:t>
      </w:r>
      <w:r w:rsidR="00EA2C42" w:rsidRPr="003412BE">
        <w:rPr>
          <w:rFonts w:eastAsiaTheme="minorEastAsia" w:cs="Times New Roman"/>
          <w:bCs/>
        </w:rPr>
        <w:t>.</w:t>
      </w:r>
      <w:r w:rsidRPr="003412BE">
        <w:rPr>
          <w:rFonts w:eastAsiaTheme="minorEastAsia" w:cs="Times New Roman"/>
          <w:bCs/>
        </w:rPr>
        <w:t xml:space="preserve"> Mapping Coursera's Global Footprint, </w:t>
      </w:r>
      <w:r w:rsidRPr="003412BE">
        <w:rPr>
          <w:rFonts w:eastAsiaTheme="minorEastAsia" w:cs="Times New Roman"/>
          <w:bCs/>
          <w:i/>
        </w:rPr>
        <w:t>Inside Higher Ed</w:t>
      </w:r>
      <w:r w:rsidR="003B45B3" w:rsidRPr="003412BE">
        <w:rPr>
          <w:rFonts w:eastAsiaTheme="minorEastAsia" w:cs="Times New Roman"/>
        </w:rPr>
        <w:t>.</w:t>
      </w:r>
      <w:r w:rsidRPr="003412BE">
        <w:rPr>
          <w:rFonts w:eastAsiaTheme="minorEastAsia" w:cs="Times New Roman"/>
        </w:rPr>
        <w:t xml:space="preserve"> </w:t>
      </w:r>
      <w:r w:rsidR="00B20EDA" w:rsidRPr="003412BE">
        <w:rPr>
          <w:rFonts w:eastAsiaTheme="minorEastAsia" w:cs="Times New Roman"/>
        </w:rPr>
        <w:t>Retrieved from</w:t>
      </w:r>
      <w:r w:rsidRPr="003412BE">
        <w:rPr>
          <w:rFonts w:eastAsiaTheme="minorEastAsia" w:cs="Times New Roman"/>
        </w:rPr>
        <w:t> </w:t>
      </w:r>
      <w:r w:rsidRPr="003412BE">
        <w:rPr>
          <w:rFonts w:eastAsiaTheme="minorEastAsia" w:cs="Times New Roman"/>
          <w:u w:val="single"/>
        </w:rPr>
        <w:t>http://www.insidehighered.com/blogs/globalhighered/mapping-courseras-global-footprint#ixzz2lMeG0B8d</w:t>
      </w:r>
    </w:p>
    <w:p w14:paraId="0FA632D2" w14:textId="77777777" w:rsidR="006A5872" w:rsidRPr="003412BE" w:rsidRDefault="006A5872" w:rsidP="00105089">
      <w:pPr>
        <w:widowControl w:val="0"/>
        <w:ind w:left="720" w:hanging="720"/>
        <w:rPr>
          <w:rFonts w:ascii="Times New Roman" w:eastAsiaTheme="minorEastAsia" w:hAnsi="Times New Roman" w:cs="Times New Roman"/>
          <w:color w:val="auto"/>
          <w:sz w:val="19"/>
          <w:szCs w:val="19"/>
          <w:lang w:val="en-US"/>
        </w:rPr>
      </w:pPr>
      <w:proofErr w:type="spellStart"/>
      <w:proofErr w:type="gramStart"/>
      <w:r w:rsidRPr="003412BE">
        <w:rPr>
          <w:rFonts w:ascii="Times New Roman" w:eastAsiaTheme="minorEastAsia" w:hAnsi="Times New Roman" w:cs="Times New Roman"/>
          <w:color w:val="auto"/>
          <w:lang w:val="en-US"/>
        </w:rPr>
        <w:t>O</w:t>
      </w:r>
      <w:r w:rsidR="00D45EA3" w:rsidRPr="003412BE">
        <w:rPr>
          <w:rFonts w:ascii="Times New Roman" w:eastAsiaTheme="minorEastAsia" w:hAnsi="Times New Roman" w:cs="Times New Roman"/>
          <w:color w:val="auto"/>
          <w:lang w:val="en-US"/>
        </w:rPr>
        <w:t>rganisation</w:t>
      </w:r>
      <w:proofErr w:type="spellEnd"/>
      <w:r w:rsidR="00D45EA3" w:rsidRPr="003412BE">
        <w:rPr>
          <w:rFonts w:ascii="Times New Roman" w:eastAsiaTheme="minorEastAsia" w:hAnsi="Times New Roman" w:cs="Times New Roman"/>
          <w:color w:val="auto"/>
          <w:lang w:val="en-US"/>
        </w:rPr>
        <w:t xml:space="preserve"> for Economic Co-operation and Development</w:t>
      </w:r>
      <w:r w:rsidRPr="003412BE">
        <w:rPr>
          <w:rFonts w:ascii="Times New Roman" w:eastAsiaTheme="minorEastAsia" w:hAnsi="Times New Roman" w:cs="Times New Roman"/>
          <w:color w:val="auto"/>
          <w:lang w:val="en-US"/>
        </w:rPr>
        <w:t xml:space="preserve"> </w:t>
      </w:r>
      <w:r w:rsidRPr="003412BE">
        <w:rPr>
          <w:rFonts w:ascii="Times New Roman" w:eastAsiaTheme="minorEastAsia" w:hAnsi="Times New Roman" w:cs="Times New Roman"/>
          <w:bCs/>
          <w:color w:val="auto"/>
          <w:lang w:val="en-US"/>
        </w:rPr>
        <w:t>(2008)</w:t>
      </w:r>
      <w:r w:rsidR="00572403" w:rsidRPr="003412BE">
        <w:rPr>
          <w:rFonts w:ascii="Times New Roman" w:eastAsiaTheme="minorEastAsia" w:hAnsi="Times New Roman" w:cs="Times New Roman"/>
          <w:bCs/>
          <w:color w:val="auto"/>
          <w:lang w:val="en-US"/>
        </w:rPr>
        <w:t>.</w:t>
      </w:r>
      <w:proofErr w:type="gramEnd"/>
      <w:r w:rsidR="00572403" w:rsidRPr="003412BE">
        <w:rPr>
          <w:rFonts w:ascii="Times New Roman" w:eastAsiaTheme="minorEastAsia" w:hAnsi="Times New Roman" w:cs="Times New Roman"/>
          <w:b/>
          <w:bCs/>
          <w:color w:val="auto"/>
          <w:lang w:val="en-US"/>
        </w:rPr>
        <w:t xml:space="preserve"> </w:t>
      </w:r>
      <w:r w:rsidR="006B1899" w:rsidRPr="003412BE">
        <w:rPr>
          <w:rFonts w:ascii="Times New Roman" w:eastAsiaTheme="minorEastAsia" w:hAnsi="Times New Roman" w:cs="Times New Roman"/>
          <w:i/>
          <w:color w:val="auto"/>
          <w:lang w:val="en-US"/>
        </w:rPr>
        <w:t>Education at a g</w:t>
      </w:r>
      <w:r w:rsidRPr="003412BE">
        <w:rPr>
          <w:rFonts w:ascii="Times New Roman" w:eastAsiaTheme="minorEastAsia" w:hAnsi="Times New Roman" w:cs="Times New Roman"/>
          <w:i/>
          <w:color w:val="auto"/>
          <w:lang w:val="en-US"/>
        </w:rPr>
        <w:t>lance: OECD Indicators</w:t>
      </w:r>
      <w:r w:rsidR="00DA6CA0" w:rsidRPr="003412BE">
        <w:rPr>
          <w:rFonts w:ascii="Times New Roman" w:eastAsiaTheme="minorEastAsia" w:hAnsi="Times New Roman" w:cs="Times New Roman"/>
          <w:color w:val="auto"/>
          <w:lang w:val="en-US"/>
        </w:rPr>
        <w:t xml:space="preserve"> (2008 e</w:t>
      </w:r>
      <w:r w:rsidRPr="003412BE">
        <w:rPr>
          <w:rFonts w:ascii="Times New Roman" w:eastAsiaTheme="minorEastAsia" w:hAnsi="Times New Roman" w:cs="Times New Roman"/>
          <w:color w:val="auto"/>
          <w:lang w:val="en-US"/>
        </w:rPr>
        <w:t>d</w:t>
      </w:r>
      <w:r w:rsidR="00D45EA3" w:rsidRPr="003412BE">
        <w:rPr>
          <w:rFonts w:ascii="Times New Roman" w:eastAsiaTheme="minorEastAsia" w:hAnsi="Times New Roman" w:cs="Times New Roman"/>
          <w:color w:val="auto"/>
          <w:lang w:val="en-US"/>
        </w:rPr>
        <w:t>.</w:t>
      </w:r>
      <w:r w:rsidR="00DA6CA0" w:rsidRPr="003412BE">
        <w:rPr>
          <w:rFonts w:ascii="Times New Roman" w:eastAsiaTheme="minorEastAsia" w:hAnsi="Times New Roman" w:cs="Times New Roman"/>
          <w:b/>
          <w:bCs/>
          <w:color w:val="auto"/>
          <w:lang w:val="en-US"/>
        </w:rPr>
        <w:t xml:space="preserve">). </w:t>
      </w:r>
      <w:r w:rsidR="00DA6CA0" w:rsidRPr="003412BE">
        <w:rPr>
          <w:rFonts w:ascii="Times New Roman" w:eastAsiaTheme="minorEastAsia" w:hAnsi="Times New Roman" w:cs="Times New Roman"/>
          <w:bCs/>
          <w:color w:val="auto"/>
          <w:lang w:val="en-US"/>
        </w:rPr>
        <w:t>Paris</w:t>
      </w:r>
      <w:r w:rsidR="00D45EA3" w:rsidRPr="003412BE">
        <w:rPr>
          <w:rFonts w:ascii="Times New Roman" w:eastAsiaTheme="minorEastAsia" w:hAnsi="Times New Roman" w:cs="Times New Roman"/>
          <w:bCs/>
          <w:color w:val="auto"/>
          <w:lang w:val="en-US"/>
        </w:rPr>
        <w:t xml:space="preserve">: OECD. </w:t>
      </w:r>
      <w:r w:rsidR="004C3864" w:rsidRPr="003412BE">
        <w:rPr>
          <w:rFonts w:ascii="Times New Roman" w:eastAsiaTheme="minorEastAsia" w:hAnsi="Times New Roman" w:cs="Times New Roman"/>
          <w:bCs/>
          <w:color w:val="auto"/>
          <w:lang w:val="en-US"/>
        </w:rPr>
        <w:t>Retrieved from</w:t>
      </w:r>
      <w:r w:rsidR="004C3864" w:rsidRPr="003412BE">
        <w:rPr>
          <w:rFonts w:ascii="Times New Roman" w:eastAsiaTheme="minorEastAsia" w:hAnsi="Times New Roman" w:cs="Times New Roman"/>
          <w:b/>
          <w:bCs/>
          <w:color w:val="auto"/>
          <w:lang w:val="en-US"/>
        </w:rPr>
        <w:t xml:space="preserve"> </w:t>
      </w:r>
      <w:r w:rsidRPr="003412BE">
        <w:rPr>
          <w:rFonts w:ascii="Times New Roman" w:hAnsi="Times New Roman" w:cs="Times New Roman"/>
          <w:color w:val="auto"/>
          <w:u w:val="single"/>
        </w:rPr>
        <w:t>http://www.oecd.org/education/skills-beyond-school/41284038.pdf</w:t>
      </w:r>
    </w:p>
    <w:p w14:paraId="75F86220" w14:textId="26949DCE" w:rsidR="006A5872" w:rsidRPr="003412BE" w:rsidRDefault="005B592A" w:rsidP="00B747EC">
      <w:pPr>
        <w:pStyle w:val="NoSpacing"/>
        <w:spacing w:before="20" w:after="60"/>
        <w:ind w:left="720" w:hanging="720"/>
        <w:rPr>
          <w:rFonts w:cs="Times New Roman"/>
          <w:color w:val="auto"/>
        </w:rPr>
      </w:pPr>
      <w:r w:rsidRPr="003412BE">
        <w:rPr>
          <w:rFonts w:cs="Times New Roman"/>
          <w:color w:val="auto"/>
        </w:rPr>
        <w:t>Pappano, L. (2012</w:t>
      </w:r>
      <w:r w:rsidR="00387CAD" w:rsidRPr="003412BE">
        <w:rPr>
          <w:rFonts w:cs="Times New Roman"/>
          <w:color w:val="auto"/>
        </w:rPr>
        <w:t>, November 2</w:t>
      </w:r>
      <w:r w:rsidRPr="003412BE">
        <w:rPr>
          <w:rFonts w:cs="Times New Roman"/>
          <w:color w:val="auto"/>
        </w:rPr>
        <w:t xml:space="preserve">). The year of the MOOC. </w:t>
      </w:r>
      <w:r w:rsidRPr="003412BE">
        <w:rPr>
          <w:rFonts w:cs="Times New Roman"/>
          <w:i/>
          <w:color w:val="auto"/>
        </w:rPr>
        <w:t>New York Times</w:t>
      </w:r>
      <w:r w:rsidRPr="003412BE">
        <w:rPr>
          <w:rFonts w:cs="Times New Roman"/>
          <w:color w:val="auto"/>
        </w:rPr>
        <w:t>.</w:t>
      </w:r>
      <w:hyperlink r:id="rId19">
        <w:r w:rsidRPr="003412BE">
          <w:rPr>
            <w:rFonts w:cs="Times New Roman"/>
            <w:color w:val="auto"/>
            <w:u w:val="single"/>
          </w:rPr>
          <w:t xml:space="preserve"> </w:t>
        </w:r>
        <w:r w:rsidR="00572403" w:rsidRPr="003412BE">
          <w:rPr>
            <w:rFonts w:cs="Times New Roman"/>
            <w:color w:val="auto"/>
            <w:u w:val="single"/>
          </w:rPr>
          <w:t xml:space="preserve">Retreived from </w:t>
        </w:r>
        <w:r w:rsidRPr="003412BE">
          <w:rPr>
            <w:rFonts w:cs="Times New Roman"/>
            <w:color w:val="auto"/>
            <w:u w:val="single"/>
          </w:rPr>
          <w:t>http://www.nytimes.com/2012/11/04/education/edlife/massive-open-online-courses-are-multiplying-at-a-rapid-pace.html?pagewanted=all</w:t>
        </w:r>
      </w:hyperlink>
      <w:r w:rsidR="006A5872" w:rsidRPr="003412BE">
        <w:rPr>
          <w:rFonts w:cs="Times New Roman"/>
          <w:color w:val="auto"/>
        </w:rPr>
        <w:t xml:space="preserve"> </w:t>
      </w:r>
    </w:p>
    <w:p w14:paraId="54D95C89" w14:textId="5EEF0785" w:rsidR="006A5872" w:rsidRPr="003412BE" w:rsidRDefault="00387CAD" w:rsidP="00B747EC">
      <w:pPr>
        <w:pStyle w:val="NoSpacing"/>
        <w:spacing w:before="20" w:after="60"/>
        <w:ind w:left="720" w:hanging="720"/>
        <w:rPr>
          <w:rFonts w:cs="Times New Roman"/>
          <w:color w:val="auto"/>
          <w:u w:val="single"/>
        </w:rPr>
      </w:pPr>
      <w:r w:rsidRPr="003412BE">
        <w:rPr>
          <w:rFonts w:cs="Times New Roman"/>
          <w:color w:val="auto"/>
        </w:rPr>
        <w:t xml:space="preserve">Popenici, S. </w:t>
      </w:r>
      <w:r w:rsidR="006A5872" w:rsidRPr="003412BE">
        <w:rPr>
          <w:rFonts w:cs="Times New Roman"/>
          <w:color w:val="auto"/>
        </w:rPr>
        <w:t>(2014, April 22)</w:t>
      </w:r>
      <w:r w:rsidR="00B20EDA" w:rsidRPr="003412BE">
        <w:rPr>
          <w:rFonts w:cs="Times New Roman"/>
          <w:color w:val="auto"/>
        </w:rPr>
        <w:t>.</w:t>
      </w:r>
      <w:r w:rsidR="006A5872" w:rsidRPr="003412BE">
        <w:rPr>
          <w:rFonts w:cs="Times New Roman"/>
          <w:color w:val="auto"/>
        </w:rPr>
        <w:t xml:space="preserve">  MOOCs- A Ts</w:t>
      </w:r>
      <w:r w:rsidR="003412BE">
        <w:rPr>
          <w:rFonts w:cs="Times New Roman"/>
          <w:color w:val="auto"/>
        </w:rPr>
        <w:t>u</w:t>
      </w:r>
      <w:r w:rsidR="006A5872" w:rsidRPr="003412BE">
        <w:rPr>
          <w:rFonts w:cs="Times New Roman"/>
          <w:color w:val="auto"/>
        </w:rPr>
        <w:t xml:space="preserve">nami of promises [Web log] Retrieved from </w:t>
      </w:r>
      <w:r w:rsidR="006A5872" w:rsidRPr="003412BE">
        <w:rPr>
          <w:rFonts w:cs="Times New Roman"/>
        </w:rPr>
        <w:t>http://popenici.com/2014/04/22/moocs2014/</w:t>
      </w:r>
    </w:p>
    <w:p w14:paraId="31BFD7CD" w14:textId="2E76A966" w:rsidR="00F87614" w:rsidRPr="003412BE" w:rsidRDefault="0032104B" w:rsidP="00B16BAB">
      <w:pPr>
        <w:pStyle w:val="NoSpacing"/>
        <w:ind w:left="720" w:hanging="720"/>
        <w:rPr>
          <w:rFonts w:cs="Times New Roman"/>
          <w:color w:val="auto"/>
        </w:rPr>
      </w:pPr>
      <w:r w:rsidRPr="003412BE">
        <w:rPr>
          <w:rFonts w:cs="Times New Roman"/>
          <w:color w:val="auto"/>
        </w:rPr>
        <w:t>Rosselle, M</w:t>
      </w:r>
      <w:r w:rsidR="005B592A" w:rsidRPr="003412BE">
        <w:rPr>
          <w:rFonts w:cs="Times New Roman"/>
          <w:color w:val="auto"/>
        </w:rPr>
        <w:t>; Caron, P &amp; Heutte, J</w:t>
      </w:r>
      <w:r w:rsidR="00B20EDA" w:rsidRPr="003412BE">
        <w:rPr>
          <w:rFonts w:cs="Times New Roman"/>
          <w:color w:val="auto"/>
        </w:rPr>
        <w:t>. (</w:t>
      </w:r>
      <w:r w:rsidR="005B592A" w:rsidRPr="003412BE">
        <w:rPr>
          <w:rFonts w:cs="Times New Roman"/>
          <w:color w:val="auto"/>
        </w:rPr>
        <w:t>2014</w:t>
      </w:r>
      <w:r w:rsidR="00B20EDA" w:rsidRPr="003412BE">
        <w:rPr>
          <w:rFonts w:cs="Times New Roman"/>
          <w:color w:val="auto"/>
        </w:rPr>
        <w:t>)</w:t>
      </w:r>
      <w:r w:rsidR="005B592A" w:rsidRPr="003412BE">
        <w:rPr>
          <w:rFonts w:cs="Times New Roman"/>
          <w:color w:val="auto"/>
        </w:rPr>
        <w:t xml:space="preserve"> A typology and dimensions of a description framework for MOOC in Proceedings of the European MOOC Stakeholder Summit, Cress, U &amp; Kloos, C.D. , (Proceedings editors) EMOOCs 2014 p. 130 </w:t>
      </w:r>
      <w:r w:rsidR="00B20EDA" w:rsidRPr="003412BE">
        <w:rPr>
          <w:rFonts w:cs="Times New Roman"/>
          <w:color w:val="auto"/>
        </w:rPr>
        <w:t xml:space="preserve">Retrieved from </w:t>
      </w:r>
      <w:hyperlink r:id="rId20">
        <w:r w:rsidR="005B592A" w:rsidRPr="003412BE">
          <w:rPr>
            <w:rFonts w:cs="Times New Roman"/>
            <w:color w:val="auto"/>
            <w:u w:val="single"/>
          </w:rPr>
          <w:t>http://www.emoocs2014.eu/sites/default/files/Proceedings-Moocs-Summit-2014.pdf</w:t>
        </w:r>
      </w:hyperlink>
    </w:p>
    <w:p w14:paraId="27C699C2" w14:textId="4E045221" w:rsidR="00B16BAB" w:rsidRPr="003412BE" w:rsidRDefault="00B16BAB" w:rsidP="00B16BAB">
      <w:pPr>
        <w:spacing w:line="240" w:lineRule="auto"/>
        <w:ind w:left="709" w:hanging="709"/>
        <w:rPr>
          <w:rFonts w:ascii="Times New Roman" w:hAnsi="Times New Roman" w:cs="Times New Roman"/>
        </w:rPr>
      </w:pPr>
      <w:r w:rsidRPr="003412BE">
        <w:rPr>
          <w:rFonts w:ascii="Times New Roman" w:hAnsi="Times New Roman" w:cs="Times New Roman"/>
        </w:rPr>
        <w:t xml:space="preserve">Sharpe, P. (2013). </w:t>
      </w:r>
      <w:r w:rsidRPr="003412BE">
        <w:rPr>
          <w:rFonts w:ascii="Times New Roman" w:hAnsi="Times New Roman" w:cs="Times New Roman"/>
          <w:i/>
        </w:rPr>
        <w:t>Northern land grab vs. Southern autonomy or a third way? Barriers to authentic North-South partnerships</w:t>
      </w:r>
      <w:r w:rsidRPr="003412BE">
        <w:rPr>
          <w:rFonts w:ascii="Times New Roman" w:hAnsi="Times New Roman" w:cs="Times New Roman"/>
        </w:rPr>
        <w:t>. Paper presented at UNISA-Cambridge conference on Open and Distance E-Learning 2013, Stellenbosch, 29 September – 2 October 2013.    Available (via Dropbox) from:  https://www.dropbox.com/sh/pc8hmygbofvf8pr/AAC3A0FfYpLv</w:t>
      </w:r>
      <w:r w:rsidRPr="003412BE">
        <w:rPr>
          <w:rFonts w:ascii="Times New Roman" w:hAnsi="Times New Roman" w:cs="Times New Roman"/>
          <w:b/>
        </w:rPr>
        <w:t>C</w:t>
      </w:r>
      <w:r w:rsidRPr="003412BE">
        <w:rPr>
          <w:rFonts w:ascii="Times New Roman" w:hAnsi="Times New Roman" w:cs="Times New Roman"/>
        </w:rPr>
        <w:t>KYXmySqkpYNa/Breakaway%20Room%20Presentations/Peter%20Anthony%20Sharpe/SHARPE%20-%20UNISA%20CAMBRIDGE%20ODEL%20paper%20final%20draft.doc</w:t>
      </w:r>
    </w:p>
    <w:p w14:paraId="0905697E" w14:textId="3CDC3C7B" w:rsidR="00F87614" w:rsidRPr="003412BE" w:rsidRDefault="005B592A" w:rsidP="00B747EC">
      <w:pPr>
        <w:pStyle w:val="NoSpacing"/>
        <w:spacing w:before="20" w:after="60"/>
        <w:ind w:left="720" w:hanging="720"/>
        <w:rPr>
          <w:rFonts w:cs="Times New Roman"/>
          <w:color w:val="auto"/>
        </w:rPr>
      </w:pPr>
      <w:r w:rsidRPr="003412BE">
        <w:rPr>
          <w:rFonts w:cs="Times New Roman"/>
          <w:color w:val="auto"/>
        </w:rPr>
        <w:t xml:space="preserve">Siemens, G., Irvine, V. &amp; Code, J. </w:t>
      </w:r>
      <w:r w:rsidR="00B20EDA" w:rsidRPr="003412BE">
        <w:rPr>
          <w:rFonts w:cs="Times New Roman"/>
          <w:color w:val="auto"/>
        </w:rPr>
        <w:t>(</w:t>
      </w:r>
      <w:r w:rsidRPr="003412BE">
        <w:rPr>
          <w:rFonts w:cs="Times New Roman"/>
          <w:color w:val="auto"/>
        </w:rPr>
        <w:t>2013</w:t>
      </w:r>
      <w:r w:rsidR="00B20EDA" w:rsidRPr="003412BE">
        <w:rPr>
          <w:rFonts w:cs="Times New Roman"/>
          <w:color w:val="auto"/>
        </w:rPr>
        <w:t>)</w:t>
      </w:r>
      <w:r w:rsidRPr="003412BE">
        <w:rPr>
          <w:rFonts w:cs="Times New Roman"/>
          <w:color w:val="auto"/>
        </w:rPr>
        <w:t>. Special Issue on MOOCs: An Academic Perspective on an Emerging Technological and Social Trend. MERLOT Journal of Online Learning and Teaching, 9(2), iii-iv.</w:t>
      </w:r>
    </w:p>
    <w:p w14:paraId="4F684DCA" w14:textId="3FF61777" w:rsidR="00AE1378" w:rsidRPr="003412BE" w:rsidRDefault="00071241" w:rsidP="0090792C">
      <w:pPr>
        <w:pStyle w:val="NoSpacing"/>
        <w:spacing w:before="20" w:after="60"/>
        <w:ind w:left="720" w:hanging="720"/>
        <w:rPr>
          <w:rFonts w:cs="Times New Roman"/>
          <w:color w:val="auto"/>
        </w:rPr>
      </w:pPr>
      <w:r w:rsidRPr="003412BE">
        <w:rPr>
          <w:rFonts w:cs="Times New Roman"/>
          <w:color w:val="auto"/>
        </w:rPr>
        <w:t>Stanford (2014, May)</w:t>
      </w:r>
      <w:r w:rsidR="001B04AB" w:rsidRPr="003412BE">
        <w:rPr>
          <w:rFonts w:cs="Times New Roman"/>
          <w:color w:val="auto"/>
        </w:rPr>
        <w:t>.</w:t>
      </w:r>
      <w:r w:rsidRPr="003412BE">
        <w:rPr>
          <w:rFonts w:cs="Times New Roman"/>
          <w:color w:val="auto"/>
        </w:rPr>
        <w:t xml:space="preserve"> Stanford 2013 – In review</w:t>
      </w:r>
      <w:r w:rsidR="00AE1378" w:rsidRPr="003412BE">
        <w:rPr>
          <w:rFonts w:cs="Times New Roman"/>
          <w:color w:val="auto"/>
        </w:rPr>
        <w:t>. Retri</w:t>
      </w:r>
      <w:r w:rsidR="00870EAE" w:rsidRPr="003412BE">
        <w:rPr>
          <w:rFonts w:cs="Times New Roman"/>
          <w:color w:val="auto"/>
        </w:rPr>
        <w:t>e</w:t>
      </w:r>
      <w:r w:rsidR="00AE1378" w:rsidRPr="003412BE">
        <w:rPr>
          <w:rFonts w:cs="Times New Roman"/>
          <w:color w:val="auto"/>
        </w:rPr>
        <w:t xml:space="preserve">ved from </w:t>
      </w:r>
      <w:r w:rsidR="003412BE" w:rsidRPr="003412BE">
        <w:rPr>
          <w:rFonts w:cs="Times New Roman"/>
        </w:rPr>
        <w:t>http://</w:t>
      </w:r>
      <w:r w:rsidR="003412BE">
        <w:rPr>
          <w:rFonts w:cs="Times New Roman"/>
        </w:rPr>
        <w:t>www.stanford.edu/dept/vpol/vpol.</w:t>
      </w:r>
      <w:r w:rsidR="00AE1378" w:rsidRPr="003412BE">
        <w:rPr>
          <w:rFonts w:cs="Times New Roman"/>
        </w:rPr>
        <w:t>iles/2013_Report/Stanford_Online_2013_In_Review.pdf</w:t>
      </w:r>
    </w:p>
    <w:p w14:paraId="2FACBB39" w14:textId="77777777" w:rsidR="00F87614" w:rsidRPr="003412BE" w:rsidRDefault="005B592A" w:rsidP="00B747EC">
      <w:pPr>
        <w:pStyle w:val="NoSpacing"/>
        <w:spacing w:before="20" w:after="60"/>
        <w:ind w:left="720" w:hanging="720"/>
        <w:rPr>
          <w:rFonts w:cs="Times New Roman"/>
          <w:color w:val="auto"/>
        </w:rPr>
      </w:pPr>
      <w:r w:rsidRPr="003412BE">
        <w:rPr>
          <w:rFonts w:cs="Times New Roman"/>
          <w:color w:val="auto"/>
        </w:rPr>
        <w:t xml:space="preserve">Straumsheim, C. </w:t>
      </w:r>
      <w:r w:rsidR="00D45EA3" w:rsidRPr="003412BE">
        <w:rPr>
          <w:rFonts w:cs="Times New Roman"/>
          <w:color w:val="auto"/>
        </w:rPr>
        <w:t>(</w:t>
      </w:r>
      <w:r w:rsidRPr="003412BE">
        <w:rPr>
          <w:rFonts w:cs="Times New Roman"/>
          <w:color w:val="auto"/>
        </w:rPr>
        <w:t>2013</w:t>
      </w:r>
      <w:r w:rsidR="009C5CE3" w:rsidRPr="003412BE">
        <w:rPr>
          <w:rFonts w:cs="Times New Roman"/>
          <w:color w:val="auto"/>
        </w:rPr>
        <w:t>, September 12</w:t>
      </w:r>
      <w:r w:rsidR="00D45EA3" w:rsidRPr="003412BE">
        <w:rPr>
          <w:rFonts w:cs="Times New Roman"/>
          <w:color w:val="auto"/>
        </w:rPr>
        <w:t>)</w:t>
      </w:r>
      <w:r w:rsidR="00EA2C42" w:rsidRPr="003412BE">
        <w:rPr>
          <w:rFonts w:cs="Times New Roman"/>
          <w:color w:val="auto"/>
        </w:rPr>
        <w:t>.</w:t>
      </w:r>
      <w:r w:rsidRPr="003412BE">
        <w:rPr>
          <w:rFonts w:cs="Times New Roman"/>
          <w:color w:val="auto"/>
        </w:rPr>
        <w:t xml:space="preserve"> The </w:t>
      </w:r>
      <w:r w:rsidR="009C5CE3" w:rsidRPr="003412BE">
        <w:rPr>
          <w:rFonts w:cs="Times New Roman"/>
          <w:color w:val="auto"/>
        </w:rPr>
        <w:t>f</w:t>
      </w:r>
      <w:r w:rsidRPr="003412BE">
        <w:rPr>
          <w:rFonts w:cs="Times New Roman"/>
          <w:color w:val="auto"/>
        </w:rPr>
        <w:t xml:space="preserve">ull </w:t>
      </w:r>
      <w:r w:rsidR="009C5CE3" w:rsidRPr="003412BE">
        <w:rPr>
          <w:rFonts w:cs="Times New Roman"/>
          <w:color w:val="auto"/>
        </w:rPr>
        <w:t>r</w:t>
      </w:r>
      <w:r w:rsidRPr="003412BE">
        <w:rPr>
          <w:rFonts w:cs="Times New Roman"/>
          <w:color w:val="auto"/>
        </w:rPr>
        <w:t xml:space="preserve">eport on Udacity </w:t>
      </w:r>
      <w:r w:rsidR="009C5CE3" w:rsidRPr="003412BE">
        <w:rPr>
          <w:rFonts w:cs="Times New Roman"/>
          <w:color w:val="auto"/>
        </w:rPr>
        <w:t>e</w:t>
      </w:r>
      <w:r w:rsidRPr="003412BE">
        <w:rPr>
          <w:rFonts w:cs="Times New Roman"/>
          <w:color w:val="auto"/>
        </w:rPr>
        <w:t xml:space="preserve">xperiment </w:t>
      </w:r>
      <w:r w:rsidRPr="003412BE">
        <w:rPr>
          <w:rFonts w:cs="Times New Roman"/>
          <w:i/>
          <w:color w:val="auto"/>
        </w:rPr>
        <w:t>Inside Higher Ed</w:t>
      </w:r>
      <w:r w:rsidRPr="003412BE">
        <w:rPr>
          <w:rFonts w:cs="Times New Roman"/>
          <w:color w:val="auto"/>
        </w:rPr>
        <w:t xml:space="preserve"> </w:t>
      </w:r>
      <w:r w:rsidR="004C3864" w:rsidRPr="003412BE">
        <w:rPr>
          <w:rFonts w:cs="Times New Roman"/>
          <w:color w:val="auto"/>
        </w:rPr>
        <w:t xml:space="preserve">Retrieved from </w:t>
      </w:r>
      <w:hyperlink r:id="rId21">
        <w:r w:rsidRPr="003412BE">
          <w:rPr>
            <w:rFonts w:cs="Times New Roman"/>
            <w:color w:val="auto"/>
            <w:u w:val="single"/>
          </w:rPr>
          <w:t>http://www.insidehighered.com/news/2013/09/12/after-weeks-delays-san-jose-state-u-releases-research-report-online-courses</w:t>
        </w:r>
      </w:hyperlink>
    </w:p>
    <w:p w14:paraId="1097593E" w14:textId="67665018" w:rsidR="00F87614" w:rsidRPr="003412BE" w:rsidRDefault="005B592A" w:rsidP="00B747EC">
      <w:pPr>
        <w:pStyle w:val="NoSpacing"/>
        <w:spacing w:before="20" w:after="60"/>
        <w:ind w:left="720" w:hanging="720"/>
        <w:rPr>
          <w:rFonts w:cs="Times New Roman"/>
          <w:color w:val="auto"/>
        </w:rPr>
      </w:pPr>
      <w:r w:rsidRPr="003412BE">
        <w:rPr>
          <w:rFonts w:cs="Times New Roman"/>
          <w:color w:val="auto"/>
        </w:rPr>
        <w:t>World Bank</w:t>
      </w:r>
      <w:r w:rsidR="006B1899" w:rsidRPr="003412BE">
        <w:rPr>
          <w:rFonts w:cs="Times New Roman"/>
          <w:color w:val="auto"/>
        </w:rPr>
        <w:t>. (</w:t>
      </w:r>
      <w:r w:rsidRPr="003412BE">
        <w:rPr>
          <w:rFonts w:cs="Times New Roman"/>
          <w:color w:val="auto"/>
        </w:rPr>
        <w:t>2010</w:t>
      </w:r>
      <w:r w:rsidR="006B1899" w:rsidRPr="003412BE">
        <w:rPr>
          <w:rFonts w:cs="Times New Roman"/>
          <w:color w:val="auto"/>
        </w:rPr>
        <w:t>)</w:t>
      </w:r>
      <w:r w:rsidRPr="003412BE">
        <w:rPr>
          <w:rFonts w:cs="Times New Roman"/>
          <w:color w:val="auto"/>
        </w:rPr>
        <w:t xml:space="preserve">. </w:t>
      </w:r>
      <w:r w:rsidRPr="003412BE">
        <w:rPr>
          <w:rFonts w:cs="Times New Roman"/>
          <w:i/>
          <w:color w:val="auto"/>
        </w:rPr>
        <w:t xml:space="preserve">Financing </w:t>
      </w:r>
      <w:r w:rsidR="0029117F" w:rsidRPr="003412BE">
        <w:rPr>
          <w:rFonts w:cs="Times New Roman"/>
          <w:i/>
          <w:color w:val="auto"/>
        </w:rPr>
        <w:t>Higher Education</w:t>
      </w:r>
      <w:r w:rsidRPr="003412BE">
        <w:rPr>
          <w:rFonts w:cs="Times New Roman"/>
          <w:i/>
          <w:color w:val="auto"/>
        </w:rPr>
        <w:t xml:space="preserve"> in Africa, </w:t>
      </w:r>
      <w:r w:rsidR="006B1899" w:rsidRPr="003412BE">
        <w:rPr>
          <w:rFonts w:cs="Times New Roman"/>
          <w:i/>
          <w:color w:val="auto"/>
        </w:rPr>
        <w:t>d</w:t>
      </w:r>
      <w:r w:rsidRPr="003412BE">
        <w:rPr>
          <w:rFonts w:cs="Times New Roman"/>
          <w:i/>
          <w:color w:val="auto"/>
        </w:rPr>
        <w:t xml:space="preserve">irections in </w:t>
      </w:r>
      <w:r w:rsidR="006B1899" w:rsidRPr="003412BE">
        <w:rPr>
          <w:rFonts w:cs="Times New Roman"/>
          <w:i/>
          <w:color w:val="auto"/>
        </w:rPr>
        <w:t>d</w:t>
      </w:r>
      <w:r w:rsidRPr="003412BE">
        <w:rPr>
          <w:rFonts w:cs="Times New Roman"/>
          <w:i/>
          <w:color w:val="auto"/>
        </w:rPr>
        <w:t>evelopment,</w:t>
      </w:r>
      <w:r w:rsidRPr="003412BE">
        <w:rPr>
          <w:rFonts w:cs="Times New Roman"/>
          <w:color w:val="auto"/>
        </w:rPr>
        <w:t xml:space="preserve"> Washington DC</w:t>
      </w:r>
    </w:p>
    <w:p w14:paraId="194769B5" w14:textId="40F7983F" w:rsidR="00F87614" w:rsidRPr="003412BE" w:rsidRDefault="005B592A" w:rsidP="00B747EC">
      <w:pPr>
        <w:pStyle w:val="NoSpacing"/>
        <w:spacing w:before="20" w:after="60"/>
        <w:ind w:left="720" w:hanging="720"/>
        <w:rPr>
          <w:rFonts w:cs="Times New Roman"/>
          <w:color w:val="auto"/>
        </w:rPr>
      </w:pPr>
      <w:r w:rsidRPr="003412BE">
        <w:rPr>
          <w:rFonts w:cs="Times New Roman"/>
          <w:color w:val="auto"/>
        </w:rPr>
        <w:t xml:space="preserve">Yuan, </w:t>
      </w:r>
      <w:r w:rsidR="00EA2C42" w:rsidRPr="003412BE">
        <w:rPr>
          <w:rFonts w:cs="Times New Roman"/>
          <w:color w:val="auto"/>
        </w:rPr>
        <w:t xml:space="preserve">L., </w:t>
      </w:r>
      <w:r w:rsidRPr="003412BE">
        <w:rPr>
          <w:rFonts w:cs="Times New Roman"/>
          <w:color w:val="auto"/>
        </w:rPr>
        <w:t>Powell</w:t>
      </w:r>
      <w:r w:rsidR="00EA2C42" w:rsidRPr="003412BE">
        <w:rPr>
          <w:rFonts w:cs="Times New Roman"/>
          <w:color w:val="auto"/>
        </w:rPr>
        <w:t xml:space="preserve">, S. </w:t>
      </w:r>
      <w:r w:rsidRPr="003412BE">
        <w:rPr>
          <w:rFonts w:cs="Times New Roman"/>
          <w:color w:val="auto"/>
        </w:rPr>
        <w:t>&amp; Olivier</w:t>
      </w:r>
      <w:r w:rsidR="00EA2C42" w:rsidRPr="003412BE">
        <w:rPr>
          <w:rFonts w:cs="Times New Roman"/>
          <w:color w:val="auto"/>
        </w:rPr>
        <w:t>, B.</w:t>
      </w:r>
      <w:r w:rsidRPr="003412BE">
        <w:rPr>
          <w:rFonts w:cs="Times New Roman"/>
          <w:color w:val="auto"/>
        </w:rPr>
        <w:t xml:space="preserve"> </w:t>
      </w:r>
      <w:r w:rsidR="00EA2C42" w:rsidRPr="003412BE">
        <w:rPr>
          <w:rFonts w:cs="Times New Roman"/>
          <w:color w:val="auto"/>
        </w:rPr>
        <w:t>(</w:t>
      </w:r>
      <w:r w:rsidRPr="003412BE">
        <w:rPr>
          <w:rFonts w:cs="Times New Roman"/>
          <w:color w:val="auto"/>
        </w:rPr>
        <w:t>2014</w:t>
      </w:r>
      <w:r w:rsidR="00EA2C42" w:rsidRPr="003412BE">
        <w:rPr>
          <w:rFonts w:cs="Times New Roman"/>
          <w:color w:val="auto"/>
        </w:rPr>
        <w:t>, January).</w:t>
      </w:r>
      <w:r w:rsidRPr="003412BE">
        <w:rPr>
          <w:rFonts w:cs="Times New Roman"/>
          <w:color w:val="auto"/>
        </w:rPr>
        <w:t xml:space="preserve"> Beyond MOOCs: Sustainable online learning in institutions. A white paper. Centre for Educational Technology, Interoperability and Standards </w:t>
      </w:r>
      <w:hyperlink r:id="rId22">
        <w:r w:rsidRPr="003412BE">
          <w:rPr>
            <w:rFonts w:cs="Times New Roman"/>
            <w:color w:val="auto"/>
            <w:u w:val="single"/>
          </w:rPr>
          <w:t xml:space="preserve"> </w:t>
        </w:r>
        <w:r w:rsidR="00EA2C42" w:rsidRPr="003412BE">
          <w:rPr>
            <w:rFonts w:cs="Times New Roman"/>
            <w:color w:val="auto"/>
            <w:u w:val="single"/>
          </w:rPr>
          <w:t xml:space="preserve">Retrieved from </w:t>
        </w:r>
        <w:r w:rsidRPr="003412BE">
          <w:rPr>
            <w:rFonts w:cs="Times New Roman"/>
            <w:color w:val="auto"/>
            <w:u w:val="single"/>
          </w:rPr>
          <w:t>http://publications.cetis.ac.uk/2014/898</w:t>
        </w:r>
      </w:hyperlink>
    </w:p>
    <w:p w14:paraId="63AEF17C" w14:textId="5B1B9883" w:rsidR="00F87614" w:rsidRPr="003412BE" w:rsidRDefault="005B592A" w:rsidP="00B747EC">
      <w:pPr>
        <w:pStyle w:val="NoSpacing"/>
        <w:spacing w:before="20" w:after="60"/>
        <w:ind w:left="720" w:hanging="720"/>
        <w:rPr>
          <w:rFonts w:cs="Times New Roman"/>
          <w:color w:val="auto"/>
        </w:rPr>
      </w:pPr>
      <w:r w:rsidRPr="003412BE">
        <w:rPr>
          <w:rFonts w:cs="Times New Roman"/>
          <w:color w:val="auto"/>
        </w:rPr>
        <w:t xml:space="preserve"> Yuan, L</w:t>
      </w:r>
      <w:r w:rsidR="00EA2C42" w:rsidRPr="003412BE">
        <w:rPr>
          <w:rFonts w:cs="Times New Roman"/>
          <w:color w:val="auto"/>
        </w:rPr>
        <w:t xml:space="preserve">. </w:t>
      </w:r>
      <w:r w:rsidRPr="003412BE">
        <w:rPr>
          <w:rFonts w:cs="Times New Roman"/>
          <w:color w:val="auto"/>
        </w:rPr>
        <w:t xml:space="preserve">&amp; Powell, S. </w:t>
      </w:r>
      <w:r w:rsidR="00EA2C42" w:rsidRPr="003412BE">
        <w:rPr>
          <w:rFonts w:cs="Times New Roman"/>
          <w:color w:val="auto"/>
        </w:rPr>
        <w:t>(</w:t>
      </w:r>
      <w:r w:rsidRPr="003412BE">
        <w:rPr>
          <w:rFonts w:cs="Times New Roman"/>
          <w:color w:val="auto"/>
        </w:rPr>
        <w:t>2013</w:t>
      </w:r>
      <w:r w:rsidR="00EA2C42" w:rsidRPr="003412BE">
        <w:rPr>
          <w:rFonts w:cs="Times New Roman"/>
          <w:color w:val="auto"/>
        </w:rPr>
        <w:t>, March)</w:t>
      </w:r>
      <w:r w:rsidRPr="003412BE">
        <w:rPr>
          <w:rFonts w:cs="Times New Roman"/>
          <w:color w:val="auto"/>
        </w:rPr>
        <w:t>. MOOCs and Open Education: Implications for Higher Education. A white paper .Centre for Educational Technology, Interoperability and Standards</w:t>
      </w:r>
      <w:r w:rsidR="00EA2C42" w:rsidRPr="003412BE">
        <w:rPr>
          <w:rFonts w:cs="Times New Roman"/>
          <w:color w:val="auto"/>
        </w:rPr>
        <w:t xml:space="preserve"> Retrieved from</w:t>
      </w:r>
      <w:r w:rsidRPr="003412BE">
        <w:rPr>
          <w:rFonts w:cs="Times New Roman"/>
          <w:color w:val="auto"/>
        </w:rPr>
        <w:t xml:space="preserve"> </w:t>
      </w:r>
      <w:hyperlink r:id="rId23">
        <w:r w:rsidRPr="003412BE">
          <w:rPr>
            <w:rFonts w:cs="Times New Roman"/>
            <w:color w:val="auto"/>
            <w:u w:val="single"/>
          </w:rPr>
          <w:t>http://publications.cetis.ac.uk/2013/667</w:t>
        </w:r>
      </w:hyperlink>
    </w:p>
    <w:p w14:paraId="49730CBF" w14:textId="77777777" w:rsidR="00F87614" w:rsidRPr="003412BE" w:rsidRDefault="00F87614" w:rsidP="00B747EC">
      <w:pPr>
        <w:widowControl w:val="0"/>
        <w:spacing w:after="120"/>
        <w:ind w:hanging="720"/>
        <w:rPr>
          <w:rFonts w:ascii="Times New Roman" w:hAnsi="Times New Roman" w:cs="Times New Roman"/>
          <w:color w:val="auto"/>
        </w:rPr>
      </w:pPr>
    </w:p>
    <w:sectPr w:rsidR="00F87614" w:rsidRPr="003412BE" w:rsidSect="00300B98">
      <w:headerReference w:type="default" r:id="rId24"/>
      <w:footerReference w:type="default" r:id="rId25"/>
      <w:footerReference w:type="first" r:id="rId26"/>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342DF4" w14:textId="77777777" w:rsidR="00206EEB" w:rsidRDefault="00206EEB">
      <w:pPr>
        <w:spacing w:line="240" w:lineRule="auto"/>
      </w:pPr>
      <w:r>
        <w:separator/>
      </w:r>
    </w:p>
  </w:endnote>
  <w:endnote w:type="continuationSeparator" w:id="0">
    <w:p w14:paraId="0D304C2E" w14:textId="77777777" w:rsidR="00206EEB" w:rsidRDefault="00206E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52E91" w14:textId="53CE9127" w:rsidR="00A1770A" w:rsidRPr="00C33DB0" w:rsidRDefault="00A1770A" w:rsidP="00300B98">
    <w:pPr>
      <w:pStyle w:val="Title"/>
      <w:widowControl w:val="0"/>
      <w:pBdr>
        <w:top w:val="single" w:sz="4" w:space="1" w:color="auto"/>
      </w:pBdr>
      <w:contextualSpacing w:val="0"/>
      <w:jc w:val="center"/>
      <w:rPr>
        <w:color w:val="000000" w:themeColor="text1"/>
        <w:sz w:val="24"/>
        <w:szCs w:val="24"/>
      </w:rPr>
    </w:pPr>
    <w:r w:rsidRPr="00C33DB0">
      <w:rPr>
        <w:rFonts w:ascii="Century Gothic" w:hAnsi="Century Gothic"/>
        <w:color w:val="auto"/>
        <w:sz w:val="16"/>
        <w:szCs w:val="16"/>
      </w:rPr>
      <w:t>Developing world MOOCs: a curriculum view of the MOOC landscape</w:t>
    </w:r>
  </w:p>
  <w:p w14:paraId="3FFF4592" w14:textId="5F3937CE" w:rsidR="00A1770A" w:rsidRDefault="00A1770A">
    <w:pPr>
      <w:jc w:val="righ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6689C" w14:textId="3867D6FE" w:rsidR="00A1770A" w:rsidRPr="00BE038F" w:rsidRDefault="00A1770A" w:rsidP="0002086F">
    <w:pPr>
      <w:pStyle w:val="Title"/>
      <w:widowControl w:val="0"/>
      <w:pBdr>
        <w:top w:val="single" w:sz="4" w:space="1" w:color="auto"/>
      </w:pBdr>
      <w:contextualSpacing w:val="0"/>
      <w:jc w:val="center"/>
      <w:rPr>
        <w:rFonts w:ascii="Century Gothic" w:hAnsi="Century Gothic"/>
        <w:sz w:val="16"/>
        <w:szCs w:val="16"/>
      </w:rPr>
    </w:pPr>
    <w:r>
      <w:rPr>
        <w:rFonts w:ascii="Century Gothic" w:hAnsi="Century Gothic"/>
        <w:color w:val="auto"/>
        <w:sz w:val="16"/>
        <w:szCs w:val="16"/>
        <w:u w:val="single"/>
      </w:rPr>
      <w:t xml:space="preserve">Czerniewicz, Deacon, </w:t>
    </w:r>
    <w:r>
      <w:rPr>
        <w:rFonts w:ascii="Century Gothic" w:hAnsi="Century Gothic"/>
        <w:color w:val="auto"/>
        <w:sz w:val="16"/>
        <w:szCs w:val="16"/>
        <w:u w:val="single"/>
      </w:rPr>
      <w:t>Smail and Walji (</w:t>
    </w:r>
    <w:r>
      <w:rPr>
        <w:rFonts w:ascii="Century Gothic" w:eastAsiaTheme="minorEastAsia" w:hAnsi="Century Gothic" w:cs="Arial-BoldMT"/>
        <w:bCs/>
        <w:color w:val="auto"/>
        <w:sz w:val="16"/>
        <w:szCs w:val="16"/>
        <w:lang w:val="en-US"/>
      </w:rPr>
      <w:t xml:space="preserve">in press, 2014: </w:t>
    </w:r>
    <w:r>
      <w:rPr>
        <w:rFonts w:ascii="Century Gothic" w:hAnsi="Century Gothic"/>
        <w:color w:val="auto"/>
        <w:sz w:val="16"/>
        <w:szCs w:val="16"/>
        <w:u w:val="single"/>
      </w:rPr>
      <w:t xml:space="preserve"> </w:t>
    </w:r>
    <w:r w:rsidRPr="00C33DB0">
      <w:rPr>
        <w:rFonts w:ascii="Century Gothic" w:hAnsi="Century Gothic"/>
        <w:color w:val="auto"/>
        <w:sz w:val="16"/>
        <w:szCs w:val="16"/>
      </w:rPr>
      <w:t xml:space="preserve">Developing world MOOCs: a curriculum view of the MOOC landscape, in </w:t>
    </w:r>
    <w:sdt>
      <w:sdtPr>
        <w:rPr>
          <w:rFonts w:ascii="Century Gothic" w:eastAsiaTheme="minorEastAsia" w:hAnsi="Century Gothic" w:cs="Arial-BoldMT"/>
          <w:bCs/>
          <w:i/>
          <w:color w:val="auto"/>
          <w:sz w:val="16"/>
          <w:szCs w:val="16"/>
        </w:rPr>
        <w:alias w:val="Date"/>
        <w:id w:val="1482501663"/>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roofErr w:type="spellStart"/>
        <w:r w:rsidR="008902E1" w:rsidRPr="00C33DB0">
          <w:rPr>
            <w:rFonts w:ascii="Century Gothic" w:eastAsiaTheme="minorEastAsia" w:hAnsi="Century Gothic" w:cs="Arial-BoldMT"/>
            <w:bCs/>
            <w:i/>
            <w:color w:val="auto"/>
            <w:sz w:val="16"/>
            <w:szCs w:val="16"/>
            <w:lang w:val="en-US"/>
          </w:rPr>
          <w:t>Ghanashyam</w:t>
        </w:r>
        <w:proofErr w:type="spellEnd"/>
        <w:r w:rsidR="008902E1" w:rsidRPr="00C33DB0">
          <w:rPr>
            <w:rFonts w:ascii="Century Gothic" w:eastAsiaTheme="minorEastAsia" w:hAnsi="Century Gothic" w:cs="Arial-BoldMT"/>
            <w:bCs/>
            <w:i/>
            <w:color w:val="auto"/>
            <w:sz w:val="16"/>
            <w:szCs w:val="16"/>
            <w:lang w:val="en-US"/>
          </w:rPr>
          <w:t xml:space="preserve"> &amp; Murphy (</w:t>
        </w:r>
        <w:proofErr w:type="spellStart"/>
        <w:r w:rsidR="008902E1" w:rsidRPr="00C33DB0">
          <w:rPr>
            <w:rFonts w:ascii="Century Gothic" w:eastAsiaTheme="minorEastAsia" w:hAnsi="Century Gothic" w:cs="Arial-BoldMT"/>
            <w:bCs/>
            <w:i/>
            <w:color w:val="auto"/>
            <w:sz w:val="16"/>
            <w:szCs w:val="16"/>
            <w:lang w:val="en-US"/>
          </w:rPr>
          <w:t>Eds</w:t>
        </w:r>
        <w:proofErr w:type="spellEnd"/>
        <w:r w:rsidR="008902E1" w:rsidRPr="00C33DB0">
          <w:rPr>
            <w:rFonts w:ascii="Century Gothic" w:eastAsiaTheme="minorEastAsia" w:hAnsi="Century Gothic" w:cs="Arial-BoldMT"/>
            <w:bCs/>
            <w:i/>
            <w:color w:val="auto"/>
            <w:sz w:val="16"/>
            <w:szCs w:val="16"/>
            <w:lang w:val="en-US"/>
          </w:rPr>
          <w:t>) Special Issue of on MOOCs, Journal of Global Literacies, Technology, and Emerging Pedagogies (JOGLTEP)</w:t>
        </w:r>
      </w:sdtContent>
    </w:sdt>
  </w:p>
  <w:p w14:paraId="407610CB" w14:textId="77777777" w:rsidR="00A1770A" w:rsidRDefault="00A1770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22834F" w14:textId="77777777" w:rsidR="00206EEB" w:rsidRDefault="00206EEB">
      <w:pPr>
        <w:spacing w:line="240" w:lineRule="auto"/>
      </w:pPr>
      <w:r>
        <w:separator/>
      </w:r>
    </w:p>
  </w:footnote>
  <w:footnote w:type="continuationSeparator" w:id="0">
    <w:p w14:paraId="416441AE" w14:textId="77777777" w:rsidR="00206EEB" w:rsidRDefault="00206EE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918332"/>
      <w:docPartObj>
        <w:docPartGallery w:val="Page Numbers (Top of Page)"/>
        <w:docPartUnique/>
      </w:docPartObj>
    </w:sdtPr>
    <w:sdtEndPr>
      <w:rPr>
        <w:rFonts w:ascii="Century Gothic" w:hAnsi="Century Gothic"/>
        <w:sz w:val="20"/>
        <w:szCs w:val="20"/>
      </w:rPr>
    </w:sdtEndPr>
    <w:sdtContent>
      <w:p w14:paraId="36FBC842" w14:textId="77777777" w:rsidR="00A1770A" w:rsidRPr="00300B98" w:rsidRDefault="00A1770A">
        <w:pPr>
          <w:pStyle w:val="Header"/>
          <w:jc w:val="center"/>
          <w:rPr>
            <w:rFonts w:ascii="Century Gothic" w:hAnsi="Century Gothic"/>
            <w:sz w:val="20"/>
            <w:szCs w:val="20"/>
          </w:rPr>
        </w:pPr>
        <w:r w:rsidRPr="00300B98">
          <w:rPr>
            <w:rFonts w:ascii="Century Gothic" w:hAnsi="Century Gothic"/>
            <w:sz w:val="20"/>
            <w:szCs w:val="20"/>
          </w:rPr>
          <w:t xml:space="preserve">Page </w:t>
        </w:r>
        <w:r w:rsidRPr="00300B98">
          <w:rPr>
            <w:rFonts w:ascii="Century Gothic" w:hAnsi="Century Gothic"/>
            <w:b/>
            <w:bCs/>
            <w:sz w:val="20"/>
            <w:szCs w:val="20"/>
          </w:rPr>
          <w:fldChar w:fldCharType="begin"/>
        </w:r>
        <w:r w:rsidRPr="00300B98">
          <w:rPr>
            <w:rFonts w:ascii="Century Gothic" w:hAnsi="Century Gothic"/>
            <w:b/>
            <w:bCs/>
            <w:sz w:val="20"/>
            <w:szCs w:val="20"/>
          </w:rPr>
          <w:instrText xml:space="preserve"> PAGE </w:instrText>
        </w:r>
        <w:r w:rsidRPr="00300B98">
          <w:rPr>
            <w:rFonts w:ascii="Century Gothic" w:hAnsi="Century Gothic"/>
            <w:b/>
            <w:bCs/>
            <w:sz w:val="20"/>
            <w:szCs w:val="20"/>
          </w:rPr>
          <w:fldChar w:fldCharType="separate"/>
        </w:r>
        <w:r w:rsidR="002F514E">
          <w:rPr>
            <w:rFonts w:ascii="Century Gothic" w:hAnsi="Century Gothic"/>
            <w:b/>
            <w:bCs/>
            <w:noProof/>
            <w:sz w:val="20"/>
            <w:szCs w:val="20"/>
          </w:rPr>
          <w:t>2</w:t>
        </w:r>
        <w:r w:rsidRPr="00300B98">
          <w:rPr>
            <w:rFonts w:ascii="Century Gothic" w:hAnsi="Century Gothic"/>
            <w:b/>
            <w:bCs/>
            <w:sz w:val="20"/>
            <w:szCs w:val="20"/>
          </w:rPr>
          <w:fldChar w:fldCharType="end"/>
        </w:r>
        <w:r w:rsidRPr="00300B98">
          <w:rPr>
            <w:rFonts w:ascii="Century Gothic" w:hAnsi="Century Gothic"/>
            <w:sz w:val="20"/>
            <w:szCs w:val="20"/>
          </w:rPr>
          <w:t xml:space="preserve"> of </w:t>
        </w:r>
        <w:r w:rsidRPr="00300B98">
          <w:rPr>
            <w:rFonts w:ascii="Century Gothic" w:hAnsi="Century Gothic"/>
            <w:b/>
            <w:bCs/>
            <w:sz w:val="20"/>
            <w:szCs w:val="20"/>
          </w:rPr>
          <w:fldChar w:fldCharType="begin"/>
        </w:r>
        <w:r w:rsidRPr="00300B98">
          <w:rPr>
            <w:rFonts w:ascii="Century Gothic" w:hAnsi="Century Gothic"/>
            <w:b/>
            <w:bCs/>
            <w:sz w:val="20"/>
            <w:szCs w:val="20"/>
          </w:rPr>
          <w:instrText xml:space="preserve"> NUMPAGES  </w:instrText>
        </w:r>
        <w:r w:rsidRPr="00300B98">
          <w:rPr>
            <w:rFonts w:ascii="Century Gothic" w:hAnsi="Century Gothic"/>
            <w:b/>
            <w:bCs/>
            <w:sz w:val="20"/>
            <w:szCs w:val="20"/>
          </w:rPr>
          <w:fldChar w:fldCharType="separate"/>
        </w:r>
        <w:r w:rsidR="002F514E">
          <w:rPr>
            <w:rFonts w:ascii="Century Gothic" w:hAnsi="Century Gothic"/>
            <w:b/>
            <w:bCs/>
            <w:noProof/>
            <w:sz w:val="20"/>
            <w:szCs w:val="20"/>
          </w:rPr>
          <w:t>15</w:t>
        </w:r>
        <w:r w:rsidRPr="00300B98">
          <w:rPr>
            <w:rFonts w:ascii="Century Gothic" w:hAnsi="Century Gothic"/>
            <w:b/>
            <w:bCs/>
            <w:sz w:val="20"/>
            <w:szCs w:val="20"/>
          </w:rPr>
          <w:fldChar w:fldCharType="end"/>
        </w:r>
      </w:p>
    </w:sdtContent>
  </w:sdt>
  <w:p w14:paraId="1C639A4C" w14:textId="77777777" w:rsidR="00A1770A" w:rsidRDefault="00A1770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65A3C"/>
    <w:multiLevelType w:val="multilevel"/>
    <w:tmpl w:val="CDC0C8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F101B80"/>
    <w:multiLevelType w:val="multilevel"/>
    <w:tmpl w:val="57A23A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2FA1A52"/>
    <w:multiLevelType w:val="hybridMultilevel"/>
    <w:tmpl w:val="C1DC95B4"/>
    <w:lvl w:ilvl="0" w:tplc="BEB852D0">
      <w:start w:val="1"/>
      <w:numFmt w:val="bullet"/>
      <w:lvlText w:val="o"/>
      <w:lvlJc w:val="left"/>
      <w:pPr>
        <w:tabs>
          <w:tab w:val="num" w:pos="720"/>
        </w:tabs>
        <w:ind w:left="720" w:hanging="360"/>
      </w:pPr>
      <w:rPr>
        <w:rFonts w:ascii="Courier New" w:hAnsi="Courier New" w:hint="default"/>
      </w:rPr>
    </w:lvl>
    <w:lvl w:ilvl="1" w:tplc="7E6682A8" w:tentative="1">
      <w:start w:val="1"/>
      <w:numFmt w:val="bullet"/>
      <w:lvlText w:val="o"/>
      <w:lvlJc w:val="left"/>
      <w:pPr>
        <w:tabs>
          <w:tab w:val="num" w:pos="1440"/>
        </w:tabs>
        <w:ind w:left="1440" w:hanging="360"/>
      </w:pPr>
      <w:rPr>
        <w:rFonts w:ascii="Courier New" w:hAnsi="Courier New" w:hint="default"/>
      </w:rPr>
    </w:lvl>
    <w:lvl w:ilvl="2" w:tplc="F8569CD2" w:tentative="1">
      <w:start w:val="1"/>
      <w:numFmt w:val="bullet"/>
      <w:lvlText w:val="o"/>
      <w:lvlJc w:val="left"/>
      <w:pPr>
        <w:tabs>
          <w:tab w:val="num" w:pos="2160"/>
        </w:tabs>
        <w:ind w:left="2160" w:hanging="360"/>
      </w:pPr>
      <w:rPr>
        <w:rFonts w:ascii="Courier New" w:hAnsi="Courier New" w:hint="default"/>
      </w:rPr>
    </w:lvl>
    <w:lvl w:ilvl="3" w:tplc="A1689F0E" w:tentative="1">
      <w:start w:val="1"/>
      <w:numFmt w:val="bullet"/>
      <w:lvlText w:val="o"/>
      <w:lvlJc w:val="left"/>
      <w:pPr>
        <w:tabs>
          <w:tab w:val="num" w:pos="2880"/>
        </w:tabs>
        <w:ind w:left="2880" w:hanging="360"/>
      </w:pPr>
      <w:rPr>
        <w:rFonts w:ascii="Courier New" w:hAnsi="Courier New" w:hint="default"/>
      </w:rPr>
    </w:lvl>
    <w:lvl w:ilvl="4" w:tplc="5576EC06" w:tentative="1">
      <w:start w:val="1"/>
      <w:numFmt w:val="bullet"/>
      <w:lvlText w:val="o"/>
      <w:lvlJc w:val="left"/>
      <w:pPr>
        <w:tabs>
          <w:tab w:val="num" w:pos="3600"/>
        </w:tabs>
        <w:ind w:left="3600" w:hanging="360"/>
      </w:pPr>
      <w:rPr>
        <w:rFonts w:ascii="Courier New" w:hAnsi="Courier New" w:hint="default"/>
      </w:rPr>
    </w:lvl>
    <w:lvl w:ilvl="5" w:tplc="485EA598" w:tentative="1">
      <w:start w:val="1"/>
      <w:numFmt w:val="bullet"/>
      <w:lvlText w:val="o"/>
      <w:lvlJc w:val="left"/>
      <w:pPr>
        <w:tabs>
          <w:tab w:val="num" w:pos="4320"/>
        </w:tabs>
        <w:ind w:left="4320" w:hanging="360"/>
      </w:pPr>
      <w:rPr>
        <w:rFonts w:ascii="Courier New" w:hAnsi="Courier New" w:hint="default"/>
      </w:rPr>
    </w:lvl>
    <w:lvl w:ilvl="6" w:tplc="200E1DCC" w:tentative="1">
      <w:start w:val="1"/>
      <w:numFmt w:val="bullet"/>
      <w:lvlText w:val="o"/>
      <w:lvlJc w:val="left"/>
      <w:pPr>
        <w:tabs>
          <w:tab w:val="num" w:pos="5040"/>
        </w:tabs>
        <w:ind w:left="5040" w:hanging="360"/>
      </w:pPr>
      <w:rPr>
        <w:rFonts w:ascii="Courier New" w:hAnsi="Courier New" w:hint="default"/>
      </w:rPr>
    </w:lvl>
    <w:lvl w:ilvl="7" w:tplc="9E2A2814" w:tentative="1">
      <w:start w:val="1"/>
      <w:numFmt w:val="bullet"/>
      <w:lvlText w:val="o"/>
      <w:lvlJc w:val="left"/>
      <w:pPr>
        <w:tabs>
          <w:tab w:val="num" w:pos="5760"/>
        </w:tabs>
        <w:ind w:left="5760" w:hanging="360"/>
      </w:pPr>
      <w:rPr>
        <w:rFonts w:ascii="Courier New" w:hAnsi="Courier New" w:hint="default"/>
      </w:rPr>
    </w:lvl>
    <w:lvl w:ilvl="8" w:tplc="0866A2F8" w:tentative="1">
      <w:start w:val="1"/>
      <w:numFmt w:val="bullet"/>
      <w:lvlText w:val="o"/>
      <w:lvlJc w:val="left"/>
      <w:pPr>
        <w:tabs>
          <w:tab w:val="num" w:pos="6480"/>
        </w:tabs>
        <w:ind w:left="6480" w:hanging="360"/>
      </w:pPr>
      <w:rPr>
        <w:rFonts w:ascii="Courier New" w:hAnsi="Courier New" w:hint="default"/>
      </w:rPr>
    </w:lvl>
  </w:abstractNum>
  <w:abstractNum w:abstractNumId="3">
    <w:nsid w:val="2E7C102E"/>
    <w:multiLevelType w:val="multilevel"/>
    <w:tmpl w:val="CD54AA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4BFC434D"/>
    <w:multiLevelType w:val="multilevel"/>
    <w:tmpl w:val="44C805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6874776C"/>
    <w:multiLevelType w:val="hybridMultilevel"/>
    <w:tmpl w:val="7F509C32"/>
    <w:lvl w:ilvl="0" w:tplc="8F72767A">
      <w:start w:val="1"/>
      <w:numFmt w:val="bullet"/>
      <w:lvlText w:val="o"/>
      <w:lvlJc w:val="left"/>
      <w:pPr>
        <w:tabs>
          <w:tab w:val="num" w:pos="720"/>
        </w:tabs>
        <w:ind w:left="720" w:hanging="360"/>
      </w:pPr>
      <w:rPr>
        <w:rFonts w:ascii="Courier New" w:hAnsi="Courier New" w:hint="default"/>
      </w:rPr>
    </w:lvl>
    <w:lvl w:ilvl="1" w:tplc="919A392E">
      <w:start w:val="668"/>
      <w:numFmt w:val="bullet"/>
      <w:lvlText w:val="•"/>
      <w:lvlJc w:val="left"/>
      <w:pPr>
        <w:tabs>
          <w:tab w:val="num" w:pos="1440"/>
        </w:tabs>
        <w:ind w:left="1440" w:hanging="360"/>
      </w:pPr>
      <w:rPr>
        <w:rFonts w:ascii="Arial" w:hAnsi="Arial" w:hint="default"/>
      </w:rPr>
    </w:lvl>
    <w:lvl w:ilvl="2" w:tplc="01AEC81E" w:tentative="1">
      <w:start w:val="1"/>
      <w:numFmt w:val="bullet"/>
      <w:lvlText w:val="o"/>
      <w:lvlJc w:val="left"/>
      <w:pPr>
        <w:tabs>
          <w:tab w:val="num" w:pos="2160"/>
        </w:tabs>
        <w:ind w:left="2160" w:hanging="360"/>
      </w:pPr>
      <w:rPr>
        <w:rFonts w:ascii="Courier New" w:hAnsi="Courier New" w:hint="default"/>
      </w:rPr>
    </w:lvl>
    <w:lvl w:ilvl="3" w:tplc="A5D2E00E" w:tentative="1">
      <w:start w:val="1"/>
      <w:numFmt w:val="bullet"/>
      <w:lvlText w:val="o"/>
      <w:lvlJc w:val="left"/>
      <w:pPr>
        <w:tabs>
          <w:tab w:val="num" w:pos="2880"/>
        </w:tabs>
        <w:ind w:left="2880" w:hanging="360"/>
      </w:pPr>
      <w:rPr>
        <w:rFonts w:ascii="Courier New" w:hAnsi="Courier New" w:hint="default"/>
      </w:rPr>
    </w:lvl>
    <w:lvl w:ilvl="4" w:tplc="01B4B816" w:tentative="1">
      <w:start w:val="1"/>
      <w:numFmt w:val="bullet"/>
      <w:lvlText w:val="o"/>
      <w:lvlJc w:val="left"/>
      <w:pPr>
        <w:tabs>
          <w:tab w:val="num" w:pos="3600"/>
        </w:tabs>
        <w:ind w:left="3600" w:hanging="360"/>
      </w:pPr>
      <w:rPr>
        <w:rFonts w:ascii="Courier New" w:hAnsi="Courier New" w:hint="default"/>
      </w:rPr>
    </w:lvl>
    <w:lvl w:ilvl="5" w:tplc="DA324094" w:tentative="1">
      <w:start w:val="1"/>
      <w:numFmt w:val="bullet"/>
      <w:lvlText w:val="o"/>
      <w:lvlJc w:val="left"/>
      <w:pPr>
        <w:tabs>
          <w:tab w:val="num" w:pos="4320"/>
        </w:tabs>
        <w:ind w:left="4320" w:hanging="360"/>
      </w:pPr>
      <w:rPr>
        <w:rFonts w:ascii="Courier New" w:hAnsi="Courier New" w:hint="default"/>
      </w:rPr>
    </w:lvl>
    <w:lvl w:ilvl="6" w:tplc="D256BE6A" w:tentative="1">
      <w:start w:val="1"/>
      <w:numFmt w:val="bullet"/>
      <w:lvlText w:val="o"/>
      <w:lvlJc w:val="left"/>
      <w:pPr>
        <w:tabs>
          <w:tab w:val="num" w:pos="5040"/>
        </w:tabs>
        <w:ind w:left="5040" w:hanging="360"/>
      </w:pPr>
      <w:rPr>
        <w:rFonts w:ascii="Courier New" w:hAnsi="Courier New" w:hint="default"/>
      </w:rPr>
    </w:lvl>
    <w:lvl w:ilvl="7" w:tplc="85B61940" w:tentative="1">
      <w:start w:val="1"/>
      <w:numFmt w:val="bullet"/>
      <w:lvlText w:val="o"/>
      <w:lvlJc w:val="left"/>
      <w:pPr>
        <w:tabs>
          <w:tab w:val="num" w:pos="5760"/>
        </w:tabs>
        <w:ind w:left="5760" w:hanging="360"/>
      </w:pPr>
      <w:rPr>
        <w:rFonts w:ascii="Courier New" w:hAnsi="Courier New" w:hint="default"/>
      </w:rPr>
    </w:lvl>
    <w:lvl w:ilvl="8" w:tplc="17765F2A" w:tentative="1">
      <w:start w:val="1"/>
      <w:numFmt w:val="bullet"/>
      <w:lvlText w:val="o"/>
      <w:lvlJc w:val="left"/>
      <w:pPr>
        <w:tabs>
          <w:tab w:val="num" w:pos="6480"/>
        </w:tabs>
        <w:ind w:left="6480" w:hanging="360"/>
      </w:pPr>
      <w:rPr>
        <w:rFonts w:ascii="Courier New" w:hAnsi="Courier New" w:hint="default"/>
      </w:rPr>
    </w:lvl>
  </w:abstractNum>
  <w:abstractNum w:abstractNumId="6">
    <w:nsid w:val="6B1127B1"/>
    <w:multiLevelType w:val="hybridMultilevel"/>
    <w:tmpl w:val="CA5CA61E"/>
    <w:lvl w:ilvl="0" w:tplc="5ABAEFFA">
      <w:start w:val="1"/>
      <w:numFmt w:val="bullet"/>
      <w:lvlText w:val="o"/>
      <w:lvlJc w:val="left"/>
      <w:pPr>
        <w:tabs>
          <w:tab w:val="num" w:pos="720"/>
        </w:tabs>
        <w:ind w:left="720" w:hanging="360"/>
      </w:pPr>
      <w:rPr>
        <w:rFonts w:ascii="Courier New" w:hAnsi="Courier New" w:hint="default"/>
      </w:rPr>
    </w:lvl>
    <w:lvl w:ilvl="1" w:tplc="068A160C">
      <w:start w:val="665"/>
      <w:numFmt w:val="bullet"/>
      <w:lvlText w:val="•"/>
      <w:lvlJc w:val="left"/>
      <w:pPr>
        <w:tabs>
          <w:tab w:val="num" w:pos="1440"/>
        </w:tabs>
        <w:ind w:left="1440" w:hanging="360"/>
      </w:pPr>
      <w:rPr>
        <w:rFonts w:ascii="Arial" w:hAnsi="Arial" w:hint="default"/>
      </w:rPr>
    </w:lvl>
    <w:lvl w:ilvl="2" w:tplc="45A8D598" w:tentative="1">
      <w:start w:val="1"/>
      <w:numFmt w:val="bullet"/>
      <w:lvlText w:val="o"/>
      <w:lvlJc w:val="left"/>
      <w:pPr>
        <w:tabs>
          <w:tab w:val="num" w:pos="2160"/>
        </w:tabs>
        <w:ind w:left="2160" w:hanging="360"/>
      </w:pPr>
      <w:rPr>
        <w:rFonts w:ascii="Courier New" w:hAnsi="Courier New" w:hint="default"/>
      </w:rPr>
    </w:lvl>
    <w:lvl w:ilvl="3" w:tplc="D0FAC3C2" w:tentative="1">
      <w:start w:val="1"/>
      <w:numFmt w:val="bullet"/>
      <w:lvlText w:val="o"/>
      <w:lvlJc w:val="left"/>
      <w:pPr>
        <w:tabs>
          <w:tab w:val="num" w:pos="2880"/>
        </w:tabs>
        <w:ind w:left="2880" w:hanging="360"/>
      </w:pPr>
      <w:rPr>
        <w:rFonts w:ascii="Courier New" w:hAnsi="Courier New" w:hint="default"/>
      </w:rPr>
    </w:lvl>
    <w:lvl w:ilvl="4" w:tplc="5DB8B934" w:tentative="1">
      <w:start w:val="1"/>
      <w:numFmt w:val="bullet"/>
      <w:lvlText w:val="o"/>
      <w:lvlJc w:val="left"/>
      <w:pPr>
        <w:tabs>
          <w:tab w:val="num" w:pos="3600"/>
        </w:tabs>
        <w:ind w:left="3600" w:hanging="360"/>
      </w:pPr>
      <w:rPr>
        <w:rFonts w:ascii="Courier New" w:hAnsi="Courier New" w:hint="default"/>
      </w:rPr>
    </w:lvl>
    <w:lvl w:ilvl="5" w:tplc="859E69D4" w:tentative="1">
      <w:start w:val="1"/>
      <w:numFmt w:val="bullet"/>
      <w:lvlText w:val="o"/>
      <w:lvlJc w:val="left"/>
      <w:pPr>
        <w:tabs>
          <w:tab w:val="num" w:pos="4320"/>
        </w:tabs>
        <w:ind w:left="4320" w:hanging="360"/>
      </w:pPr>
      <w:rPr>
        <w:rFonts w:ascii="Courier New" w:hAnsi="Courier New" w:hint="default"/>
      </w:rPr>
    </w:lvl>
    <w:lvl w:ilvl="6" w:tplc="555ABBC8" w:tentative="1">
      <w:start w:val="1"/>
      <w:numFmt w:val="bullet"/>
      <w:lvlText w:val="o"/>
      <w:lvlJc w:val="left"/>
      <w:pPr>
        <w:tabs>
          <w:tab w:val="num" w:pos="5040"/>
        </w:tabs>
        <w:ind w:left="5040" w:hanging="360"/>
      </w:pPr>
      <w:rPr>
        <w:rFonts w:ascii="Courier New" w:hAnsi="Courier New" w:hint="default"/>
      </w:rPr>
    </w:lvl>
    <w:lvl w:ilvl="7" w:tplc="7676E748" w:tentative="1">
      <w:start w:val="1"/>
      <w:numFmt w:val="bullet"/>
      <w:lvlText w:val="o"/>
      <w:lvlJc w:val="left"/>
      <w:pPr>
        <w:tabs>
          <w:tab w:val="num" w:pos="5760"/>
        </w:tabs>
        <w:ind w:left="5760" w:hanging="360"/>
      </w:pPr>
      <w:rPr>
        <w:rFonts w:ascii="Courier New" w:hAnsi="Courier New" w:hint="default"/>
      </w:rPr>
    </w:lvl>
    <w:lvl w:ilvl="8" w:tplc="35AEC4CC" w:tentative="1">
      <w:start w:val="1"/>
      <w:numFmt w:val="bullet"/>
      <w:lvlText w:val="o"/>
      <w:lvlJc w:val="left"/>
      <w:pPr>
        <w:tabs>
          <w:tab w:val="num" w:pos="6480"/>
        </w:tabs>
        <w:ind w:left="6480" w:hanging="360"/>
      </w:pPr>
      <w:rPr>
        <w:rFonts w:ascii="Courier New" w:hAnsi="Courier New" w:hint="default"/>
      </w:rPr>
    </w:lvl>
  </w:abstractNum>
  <w:abstractNum w:abstractNumId="7">
    <w:nsid w:val="6C413C6D"/>
    <w:multiLevelType w:val="multilevel"/>
    <w:tmpl w:val="BCACC0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7"/>
  </w:num>
  <w:num w:numId="3">
    <w:abstractNumId w:val="3"/>
  </w:num>
  <w:num w:numId="4">
    <w:abstractNumId w:val="1"/>
  </w:num>
  <w:num w:numId="5">
    <w:abstractNumId w:val="4"/>
  </w:num>
  <w:num w:numId="6">
    <w:abstractNumId w:val="5"/>
  </w:num>
  <w:num w:numId="7">
    <w:abstractNumId w:val="2"/>
  </w:num>
  <w:num w:numId="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w Deacon">
    <w15:presenceInfo w15:providerId="AD" w15:userId="S-1-5-21-1874443819-1854570843-2210025429-453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614"/>
    <w:rsid w:val="00004F15"/>
    <w:rsid w:val="00005D9F"/>
    <w:rsid w:val="000136F2"/>
    <w:rsid w:val="0002086F"/>
    <w:rsid w:val="00027D42"/>
    <w:rsid w:val="00031E5F"/>
    <w:rsid w:val="00051311"/>
    <w:rsid w:val="00060F4D"/>
    <w:rsid w:val="00063A2D"/>
    <w:rsid w:val="00064B1E"/>
    <w:rsid w:val="00071241"/>
    <w:rsid w:val="0008615D"/>
    <w:rsid w:val="00094459"/>
    <w:rsid w:val="000A1D67"/>
    <w:rsid w:val="000A6203"/>
    <w:rsid w:val="000B4293"/>
    <w:rsid w:val="000D13D6"/>
    <w:rsid w:val="000E3330"/>
    <w:rsid w:val="000E4EB8"/>
    <w:rsid w:val="00104C3E"/>
    <w:rsid w:val="00105089"/>
    <w:rsid w:val="001153C6"/>
    <w:rsid w:val="00117AE3"/>
    <w:rsid w:val="0012541B"/>
    <w:rsid w:val="00131E1B"/>
    <w:rsid w:val="0013571C"/>
    <w:rsid w:val="00145320"/>
    <w:rsid w:val="00150780"/>
    <w:rsid w:val="0015234D"/>
    <w:rsid w:val="001536B6"/>
    <w:rsid w:val="0015544B"/>
    <w:rsid w:val="0016141E"/>
    <w:rsid w:val="00164679"/>
    <w:rsid w:val="00173CAC"/>
    <w:rsid w:val="001856FA"/>
    <w:rsid w:val="00194F15"/>
    <w:rsid w:val="00195D92"/>
    <w:rsid w:val="00196A1F"/>
    <w:rsid w:val="001B04AB"/>
    <w:rsid w:val="001B5D42"/>
    <w:rsid w:val="001B6547"/>
    <w:rsid w:val="001C6A7B"/>
    <w:rsid w:val="001D2941"/>
    <w:rsid w:val="001E13CC"/>
    <w:rsid w:val="001F4E8A"/>
    <w:rsid w:val="00206EEB"/>
    <w:rsid w:val="00220448"/>
    <w:rsid w:val="00222443"/>
    <w:rsid w:val="002231B2"/>
    <w:rsid w:val="002252A2"/>
    <w:rsid w:val="00237823"/>
    <w:rsid w:val="00250995"/>
    <w:rsid w:val="0026143E"/>
    <w:rsid w:val="00262E7B"/>
    <w:rsid w:val="002730B7"/>
    <w:rsid w:val="002748BA"/>
    <w:rsid w:val="00281F48"/>
    <w:rsid w:val="0029117F"/>
    <w:rsid w:val="00294E5B"/>
    <w:rsid w:val="002A4DDA"/>
    <w:rsid w:val="002B7228"/>
    <w:rsid w:val="002D0C5B"/>
    <w:rsid w:val="002E197E"/>
    <w:rsid w:val="002F1358"/>
    <w:rsid w:val="002F2754"/>
    <w:rsid w:val="002F514E"/>
    <w:rsid w:val="00300B98"/>
    <w:rsid w:val="00300E7D"/>
    <w:rsid w:val="0032104B"/>
    <w:rsid w:val="00324504"/>
    <w:rsid w:val="00325329"/>
    <w:rsid w:val="0033005E"/>
    <w:rsid w:val="003323DA"/>
    <w:rsid w:val="00340098"/>
    <w:rsid w:val="003412BE"/>
    <w:rsid w:val="00342630"/>
    <w:rsid w:val="0034407A"/>
    <w:rsid w:val="003616B0"/>
    <w:rsid w:val="0036492B"/>
    <w:rsid w:val="00370871"/>
    <w:rsid w:val="00375040"/>
    <w:rsid w:val="00376BA6"/>
    <w:rsid w:val="00387CAD"/>
    <w:rsid w:val="00390E05"/>
    <w:rsid w:val="003B45B3"/>
    <w:rsid w:val="003C0A0D"/>
    <w:rsid w:val="003C332B"/>
    <w:rsid w:val="003C3AFF"/>
    <w:rsid w:val="003C6E69"/>
    <w:rsid w:val="003D04A9"/>
    <w:rsid w:val="003D076C"/>
    <w:rsid w:val="003E441C"/>
    <w:rsid w:val="003F360F"/>
    <w:rsid w:val="00405518"/>
    <w:rsid w:val="004056BC"/>
    <w:rsid w:val="00412FFE"/>
    <w:rsid w:val="004230AA"/>
    <w:rsid w:val="00443B19"/>
    <w:rsid w:val="004446EB"/>
    <w:rsid w:val="0044652B"/>
    <w:rsid w:val="004502A7"/>
    <w:rsid w:val="004655E4"/>
    <w:rsid w:val="00467654"/>
    <w:rsid w:val="004853B2"/>
    <w:rsid w:val="00486AB4"/>
    <w:rsid w:val="004A0062"/>
    <w:rsid w:val="004B3615"/>
    <w:rsid w:val="004C3864"/>
    <w:rsid w:val="004D55C4"/>
    <w:rsid w:val="004F305A"/>
    <w:rsid w:val="004F3DC9"/>
    <w:rsid w:val="00504A53"/>
    <w:rsid w:val="00516EA6"/>
    <w:rsid w:val="00535D78"/>
    <w:rsid w:val="00543B71"/>
    <w:rsid w:val="0055150D"/>
    <w:rsid w:val="00562388"/>
    <w:rsid w:val="00563600"/>
    <w:rsid w:val="00567A3B"/>
    <w:rsid w:val="00572403"/>
    <w:rsid w:val="00582900"/>
    <w:rsid w:val="00593193"/>
    <w:rsid w:val="005B4644"/>
    <w:rsid w:val="005B592A"/>
    <w:rsid w:val="005E6E33"/>
    <w:rsid w:val="006046F7"/>
    <w:rsid w:val="006238BC"/>
    <w:rsid w:val="0064390C"/>
    <w:rsid w:val="006447F3"/>
    <w:rsid w:val="00646C27"/>
    <w:rsid w:val="0065646C"/>
    <w:rsid w:val="00656A1A"/>
    <w:rsid w:val="00672590"/>
    <w:rsid w:val="0067569C"/>
    <w:rsid w:val="00680AF6"/>
    <w:rsid w:val="006945A1"/>
    <w:rsid w:val="006A1EA2"/>
    <w:rsid w:val="006A1FB2"/>
    <w:rsid w:val="006A539D"/>
    <w:rsid w:val="006A5872"/>
    <w:rsid w:val="006A7295"/>
    <w:rsid w:val="006B1899"/>
    <w:rsid w:val="006B38B1"/>
    <w:rsid w:val="006C11E2"/>
    <w:rsid w:val="006C5072"/>
    <w:rsid w:val="006C71D5"/>
    <w:rsid w:val="006D7A55"/>
    <w:rsid w:val="007076BD"/>
    <w:rsid w:val="00713663"/>
    <w:rsid w:val="00757636"/>
    <w:rsid w:val="007717F2"/>
    <w:rsid w:val="00784BC7"/>
    <w:rsid w:val="00787A23"/>
    <w:rsid w:val="0079042B"/>
    <w:rsid w:val="007A1F9B"/>
    <w:rsid w:val="007B4EF5"/>
    <w:rsid w:val="007C1481"/>
    <w:rsid w:val="007E07AB"/>
    <w:rsid w:val="007F0F07"/>
    <w:rsid w:val="007F47EF"/>
    <w:rsid w:val="00801C30"/>
    <w:rsid w:val="0083240D"/>
    <w:rsid w:val="00832E2C"/>
    <w:rsid w:val="008560B3"/>
    <w:rsid w:val="00862219"/>
    <w:rsid w:val="00870EAE"/>
    <w:rsid w:val="008902E1"/>
    <w:rsid w:val="0089567F"/>
    <w:rsid w:val="008A3C4C"/>
    <w:rsid w:val="008B25C0"/>
    <w:rsid w:val="008B40BA"/>
    <w:rsid w:val="008C58DC"/>
    <w:rsid w:val="008D2718"/>
    <w:rsid w:val="008F7A07"/>
    <w:rsid w:val="00904495"/>
    <w:rsid w:val="0090792C"/>
    <w:rsid w:val="00923B78"/>
    <w:rsid w:val="00925FBE"/>
    <w:rsid w:val="00926C8D"/>
    <w:rsid w:val="00927339"/>
    <w:rsid w:val="00927D03"/>
    <w:rsid w:val="009302F6"/>
    <w:rsid w:val="0093380A"/>
    <w:rsid w:val="00942182"/>
    <w:rsid w:val="009625D4"/>
    <w:rsid w:val="00964B19"/>
    <w:rsid w:val="009746EE"/>
    <w:rsid w:val="009921B6"/>
    <w:rsid w:val="009B4231"/>
    <w:rsid w:val="009C0FE6"/>
    <w:rsid w:val="009C5CE3"/>
    <w:rsid w:val="009C6EDD"/>
    <w:rsid w:val="009E2C20"/>
    <w:rsid w:val="00A01C57"/>
    <w:rsid w:val="00A1770A"/>
    <w:rsid w:val="00A217BC"/>
    <w:rsid w:val="00A24CF3"/>
    <w:rsid w:val="00A35D04"/>
    <w:rsid w:val="00A42C07"/>
    <w:rsid w:val="00A732C0"/>
    <w:rsid w:val="00AA4F96"/>
    <w:rsid w:val="00AB4623"/>
    <w:rsid w:val="00AB52B6"/>
    <w:rsid w:val="00AD40CA"/>
    <w:rsid w:val="00AE1378"/>
    <w:rsid w:val="00AE3A2B"/>
    <w:rsid w:val="00AF1AF5"/>
    <w:rsid w:val="00B16BAB"/>
    <w:rsid w:val="00B20EDA"/>
    <w:rsid w:val="00B374EA"/>
    <w:rsid w:val="00B558FC"/>
    <w:rsid w:val="00B579D4"/>
    <w:rsid w:val="00B60F86"/>
    <w:rsid w:val="00B747EC"/>
    <w:rsid w:val="00B750CC"/>
    <w:rsid w:val="00B8404C"/>
    <w:rsid w:val="00B924A8"/>
    <w:rsid w:val="00B927F2"/>
    <w:rsid w:val="00B93153"/>
    <w:rsid w:val="00B941C8"/>
    <w:rsid w:val="00BA3B03"/>
    <w:rsid w:val="00BE0FF1"/>
    <w:rsid w:val="00BE1970"/>
    <w:rsid w:val="00BF20FA"/>
    <w:rsid w:val="00BF6E33"/>
    <w:rsid w:val="00C2406E"/>
    <w:rsid w:val="00C33D53"/>
    <w:rsid w:val="00C33DB0"/>
    <w:rsid w:val="00C346CE"/>
    <w:rsid w:val="00C34D51"/>
    <w:rsid w:val="00C372EF"/>
    <w:rsid w:val="00C37367"/>
    <w:rsid w:val="00C40945"/>
    <w:rsid w:val="00C442DD"/>
    <w:rsid w:val="00C46180"/>
    <w:rsid w:val="00C57CF1"/>
    <w:rsid w:val="00C748FF"/>
    <w:rsid w:val="00C80091"/>
    <w:rsid w:val="00CA041C"/>
    <w:rsid w:val="00CA3428"/>
    <w:rsid w:val="00CB0B17"/>
    <w:rsid w:val="00CB65BF"/>
    <w:rsid w:val="00CC3B04"/>
    <w:rsid w:val="00CD4626"/>
    <w:rsid w:val="00CE6266"/>
    <w:rsid w:val="00CE6AF8"/>
    <w:rsid w:val="00CF17FB"/>
    <w:rsid w:val="00CF1A11"/>
    <w:rsid w:val="00D01D00"/>
    <w:rsid w:val="00D02CAB"/>
    <w:rsid w:val="00D04205"/>
    <w:rsid w:val="00D3296E"/>
    <w:rsid w:val="00D33F2B"/>
    <w:rsid w:val="00D4133D"/>
    <w:rsid w:val="00D4179D"/>
    <w:rsid w:val="00D4467A"/>
    <w:rsid w:val="00D447FC"/>
    <w:rsid w:val="00D45EA3"/>
    <w:rsid w:val="00D460D1"/>
    <w:rsid w:val="00D51110"/>
    <w:rsid w:val="00D61B89"/>
    <w:rsid w:val="00D67212"/>
    <w:rsid w:val="00D6760B"/>
    <w:rsid w:val="00D76113"/>
    <w:rsid w:val="00D81590"/>
    <w:rsid w:val="00DA2AFD"/>
    <w:rsid w:val="00DA6CA0"/>
    <w:rsid w:val="00DB3F72"/>
    <w:rsid w:val="00DD6517"/>
    <w:rsid w:val="00DE3B23"/>
    <w:rsid w:val="00DF73E1"/>
    <w:rsid w:val="00E001B5"/>
    <w:rsid w:val="00E1107C"/>
    <w:rsid w:val="00E127FB"/>
    <w:rsid w:val="00E27094"/>
    <w:rsid w:val="00E3099D"/>
    <w:rsid w:val="00E31117"/>
    <w:rsid w:val="00E5481D"/>
    <w:rsid w:val="00E74966"/>
    <w:rsid w:val="00E95E55"/>
    <w:rsid w:val="00E975C4"/>
    <w:rsid w:val="00EA2C42"/>
    <w:rsid w:val="00EA404B"/>
    <w:rsid w:val="00EA768C"/>
    <w:rsid w:val="00EB176F"/>
    <w:rsid w:val="00EC19BE"/>
    <w:rsid w:val="00EC40D0"/>
    <w:rsid w:val="00EC7928"/>
    <w:rsid w:val="00EE630E"/>
    <w:rsid w:val="00EE7181"/>
    <w:rsid w:val="00EF5840"/>
    <w:rsid w:val="00F3571C"/>
    <w:rsid w:val="00F36871"/>
    <w:rsid w:val="00F51FFE"/>
    <w:rsid w:val="00F548AF"/>
    <w:rsid w:val="00F65E0C"/>
    <w:rsid w:val="00F7009C"/>
    <w:rsid w:val="00F74892"/>
    <w:rsid w:val="00F853C8"/>
    <w:rsid w:val="00F87614"/>
    <w:rsid w:val="00F87A4F"/>
    <w:rsid w:val="00F93ABB"/>
    <w:rsid w:val="00FA7473"/>
    <w:rsid w:val="00FD24A8"/>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651A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Arial" w:hAnsi="Arial" w:cs="Arial"/>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33F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F2B"/>
    <w:rPr>
      <w:rFonts w:ascii="Tahoma" w:eastAsia="Arial" w:hAnsi="Tahoma" w:cs="Tahoma"/>
      <w:color w:val="000000"/>
      <w:sz w:val="16"/>
      <w:szCs w:val="16"/>
    </w:rPr>
  </w:style>
  <w:style w:type="paragraph" w:styleId="NoSpacing">
    <w:name w:val="No Spacing"/>
    <w:uiPriority w:val="1"/>
    <w:qFormat/>
    <w:rsid w:val="00BE1970"/>
    <w:pPr>
      <w:spacing w:after="0" w:line="240" w:lineRule="auto"/>
    </w:pPr>
    <w:rPr>
      <w:rFonts w:ascii="Times New Roman" w:eastAsia="Arial" w:hAnsi="Times New Roman" w:cs="Arial"/>
      <w:color w:val="000000"/>
    </w:rPr>
  </w:style>
  <w:style w:type="paragraph" w:styleId="Header">
    <w:name w:val="header"/>
    <w:basedOn w:val="Normal"/>
    <w:link w:val="HeaderChar"/>
    <w:uiPriority w:val="99"/>
    <w:unhideWhenUsed/>
    <w:rsid w:val="006A1EA2"/>
    <w:pPr>
      <w:tabs>
        <w:tab w:val="center" w:pos="4513"/>
        <w:tab w:val="right" w:pos="9026"/>
      </w:tabs>
      <w:spacing w:line="240" w:lineRule="auto"/>
    </w:pPr>
  </w:style>
  <w:style w:type="character" w:customStyle="1" w:styleId="HeaderChar">
    <w:name w:val="Header Char"/>
    <w:basedOn w:val="DefaultParagraphFont"/>
    <w:link w:val="Header"/>
    <w:uiPriority w:val="99"/>
    <w:rsid w:val="006A1EA2"/>
    <w:rPr>
      <w:rFonts w:ascii="Arial" w:eastAsia="Arial" w:hAnsi="Arial" w:cs="Arial"/>
      <w:color w:val="000000"/>
    </w:rPr>
  </w:style>
  <w:style w:type="paragraph" w:styleId="Footer">
    <w:name w:val="footer"/>
    <w:basedOn w:val="Normal"/>
    <w:link w:val="FooterChar"/>
    <w:uiPriority w:val="99"/>
    <w:unhideWhenUsed/>
    <w:rsid w:val="006A1EA2"/>
    <w:pPr>
      <w:tabs>
        <w:tab w:val="center" w:pos="4513"/>
        <w:tab w:val="right" w:pos="9026"/>
      </w:tabs>
      <w:spacing w:line="240" w:lineRule="auto"/>
    </w:pPr>
  </w:style>
  <w:style w:type="character" w:customStyle="1" w:styleId="FooterChar">
    <w:name w:val="Footer Char"/>
    <w:basedOn w:val="DefaultParagraphFont"/>
    <w:link w:val="Footer"/>
    <w:uiPriority w:val="99"/>
    <w:rsid w:val="006A1EA2"/>
    <w:rPr>
      <w:rFonts w:ascii="Arial" w:eastAsia="Arial" w:hAnsi="Arial" w:cs="Arial"/>
      <w:color w:val="000000"/>
    </w:rPr>
  </w:style>
  <w:style w:type="paragraph" w:styleId="DocumentMap">
    <w:name w:val="Document Map"/>
    <w:basedOn w:val="Normal"/>
    <w:link w:val="DocumentMapChar"/>
    <w:uiPriority w:val="99"/>
    <w:semiHidden/>
    <w:unhideWhenUsed/>
    <w:rsid w:val="009C6EDD"/>
    <w:pPr>
      <w:spacing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9C6EDD"/>
    <w:rPr>
      <w:rFonts w:ascii="Lucida Grande" w:eastAsia="Arial" w:hAnsi="Lucida Grande" w:cs="Arial"/>
      <w:color w:val="000000"/>
      <w:sz w:val="24"/>
      <w:szCs w:val="24"/>
    </w:rPr>
  </w:style>
  <w:style w:type="paragraph" w:styleId="Revision">
    <w:name w:val="Revision"/>
    <w:hidden/>
    <w:uiPriority w:val="99"/>
    <w:semiHidden/>
    <w:rsid w:val="009C6EDD"/>
    <w:pPr>
      <w:spacing w:after="0" w:line="240" w:lineRule="auto"/>
    </w:pPr>
    <w:rPr>
      <w:rFonts w:ascii="Arial" w:eastAsia="Arial" w:hAnsi="Arial" w:cs="Arial"/>
      <w:color w:val="000000"/>
    </w:rPr>
  </w:style>
  <w:style w:type="paragraph" w:styleId="CommentSubject">
    <w:name w:val="annotation subject"/>
    <w:basedOn w:val="CommentText"/>
    <w:next w:val="CommentText"/>
    <w:link w:val="CommentSubjectChar"/>
    <w:uiPriority w:val="99"/>
    <w:semiHidden/>
    <w:unhideWhenUsed/>
    <w:rsid w:val="009C6EDD"/>
    <w:rPr>
      <w:b/>
      <w:bCs/>
    </w:rPr>
  </w:style>
  <w:style w:type="character" w:customStyle="1" w:styleId="CommentSubjectChar">
    <w:name w:val="Comment Subject Char"/>
    <w:basedOn w:val="CommentTextChar"/>
    <w:link w:val="CommentSubject"/>
    <w:uiPriority w:val="99"/>
    <w:semiHidden/>
    <w:rsid w:val="009C6EDD"/>
    <w:rPr>
      <w:rFonts w:ascii="Arial" w:eastAsia="Arial" w:hAnsi="Arial" w:cs="Arial"/>
      <w:b/>
      <w:bCs/>
      <w:color w:val="000000"/>
      <w:sz w:val="20"/>
      <w:szCs w:val="20"/>
    </w:rPr>
  </w:style>
  <w:style w:type="character" w:styleId="Hyperlink">
    <w:name w:val="Hyperlink"/>
    <w:basedOn w:val="DefaultParagraphFont"/>
    <w:uiPriority w:val="99"/>
    <w:unhideWhenUsed/>
    <w:rsid w:val="0013571C"/>
    <w:rPr>
      <w:color w:val="0000FF" w:themeColor="hyperlink"/>
      <w:u w:val="single"/>
    </w:rPr>
  </w:style>
  <w:style w:type="character" w:styleId="FollowedHyperlink">
    <w:name w:val="FollowedHyperlink"/>
    <w:basedOn w:val="DefaultParagraphFont"/>
    <w:uiPriority w:val="99"/>
    <w:semiHidden/>
    <w:unhideWhenUsed/>
    <w:rsid w:val="0055150D"/>
    <w:rPr>
      <w:color w:val="800080" w:themeColor="followedHyperlink"/>
      <w:u w:val="single"/>
    </w:rPr>
  </w:style>
  <w:style w:type="paragraph" w:styleId="NormalWeb">
    <w:name w:val="Normal (Web)"/>
    <w:basedOn w:val="Normal"/>
    <w:uiPriority w:val="99"/>
    <w:semiHidden/>
    <w:unhideWhenUsed/>
    <w:rsid w:val="00EE630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Date1">
    <w:name w:val="Date1"/>
    <w:basedOn w:val="DefaultParagraphFont"/>
    <w:rsid w:val="003C332B"/>
  </w:style>
  <w:style w:type="paragraph" w:styleId="ListParagraph">
    <w:name w:val="List Paragraph"/>
    <w:basedOn w:val="Normal"/>
    <w:uiPriority w:val="34"/>
    <w:qFormat/>
    <w:rsid w:val="00D460D1"/>
    <w:pPr>
      <w:ind w:left="720"/>
      <w:contextualSpacing/>
    </w:pPr>
  </w:style>
  <w:style w:type="character" w:customStyle="1" w:styleId="field-content">
    <w:name w:val="field-content"/>
    <w:basedOn w:val="DefaultParagraphFont"/>
    <w:rsid w:val="004502A7"/>
  </w:style>
  <w:style w:type="character" w:customStyle="1" w:styleId="submitted">
    <w:name w:val="submitted"/>
    <w:basedOn w:val="DefaultParagraphFont"/>
    <w:rsid w:val="004502A7"/>
  </w:style>
  <w:style w:type="paragraph" w:customStyle="1" w:styleId="Default">
    <w:name w:val="Default"/>
    <w:rsid w:val="00AE3A2B"/>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926C8D"/>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Arial" w:hAnsi="Arial" w:cs="Arial"/>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33F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F2B"/>
    <w:rPr>
      <w:rFonts w:ascii="Tahoma" w:eastAsia="Arial" w:hAnsi="Tahoma" w:cs="Tahoma"/>
      <w:color w:val="000000"/>
      <w:sz w:val="16"/>
      <w:szCs w:val="16"/>
    </w:rPr>
  </w:style>
  <w:style w:type="paragraph" w:styleId="NoSpacing">
    <w:name w:val="No Spacing"/>
    <w:uiPriority w:val="1"/>
    <w:qFormat/>
    <w:rsid w:val="00BE1970"/>
    <w:pPr>
      <w:spacing w:after="0" w:line="240" w:lineRule="auto"/>
    </w:pPr>
    <w:rPr>
      <w:rFonts w:ascii="Times New Roman" w:eastAsia="Arial" w:hAnsi="Times New Roman" w:cs="Arial"/>
      <w:color w:val="000000"/>
    </w:rPr>
  </w:style>
  <w:style w:type="paragraph" w:styleId="Header">
    <w:name w:val="header"/>
    <w:basedOn w:val="Normal"/>
    <w:link w:val="HeaderChar"/>
    <w:uiPriority w:val="99"/>
    <w:unhideWhenUsed/>
    <w:rsid w:val="006A1EA2"/>
    <w:pPr>
      <w:tabs>
        <w:tab w:val="center" w:pos="4513"/>
        <w:tab w:val="right" w:pos="9026"/>
      </w:tabs>
      <w:spacing w:line="240" w:lineRule="auto"/>
    </w:pPr>
  </w:style>
  <w:style w:type="character" w:customStyle="1" w:styleId="HeaderChar">
    <w:name w:val="Header Char"/>
    <w:basedOn w:val="DefaultParagraphFont"/>
    <w:link w:val="Header"/>
    <w:uiPriority w:val="99"/>
    <w:rsid w:val="006A1EA2"/>
    <w:rPr>
      <w:rFonts w:ascii="Arial" w:eastAsia="Arial" w:hAnsi="Arial" w:cs="Arial"/>
      <w:color w:val="000000"/>
    </w:rPr>
  </w:style>
  <w:style w:type="paragraph" w:styleId="Footer">
    <w:name w:val="footer"/>
    <w:basedOn w:val="Normal"/>
    <w:link w:val="FooterChar"/>
    <w:uiPriority w:val="99"/>
    <w:unhideWhenUsed/>
    <w:rsid w:val="006A1EA2"/>
    <w:pPr>
      <w:tabs>
        <w:tab w:val="center" w:pos="4513"/>
        <w:tab w:val="right" w:pos="9026"/>
      </w:tabs>
      <w:spacing w:line="240" w:lineRule="auto"/>
    </w:pPr>
  </w:style>
  <w:style w:type="character" w:customStyle="1" w:styleId="FooterChar">
    <w:name w:val="Footer Char"/>
    <w:basedOn w:val="DefaultParagraphFont"/>
    <w:link w:val="Footer"/>
    <w:uiPriority w:val="99"/>
    <w:rsid w:val="006A1EA2"/>
    <w:rPr>
      <w:rFonts w:ascii="Arial" w:eastAsia="Arial" w:hAnsi="Arial" w:cs="Arial"/>
      <w:color w:val="000000"/>
    </w:rPr>
  </w:style>
  <w:style w:type="paragraph" w:styleId="DocumentMap">
    <w:name w:val="Document Map"/>
    <w:basedOn w:val="Normal"/>
    <w:link w:val="DocumentMapChar"/>
    <w:uiPriority w:val="99"/>
    <w:semiHidden/>
    <w:unhideWhenUsed/>
    <w:rsid w:val="009C6EDD"/>
    <w:pPr>
      <w:spacing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9C6EDD"/>
    <w:rPr>
      <w:rFonts w:ascii="Lucida Grande" w:eastAsia="Arial" w:hAnsi="Lucida Grande" w:cs="Arial"/>
      <w:color w:val="000000"/>
      <w:sz w:val="24"/>
      <w:szCs w:val="24"/>
    </w:rPr>
  </w:style>
  <w:style w:type="paragraph" w:styleId="Revision">
    <w:name w:val="Revision"/>
    <w:hidden/>
    <w:uiPriority w:val="99"/>
    <w:semiHidden/>
    <w:rsid w:val="009C6EDD"/>
    <w:pPr>
      <w:spacing w:after="0" w:line="240" w:lineRule="auto"/>
    </w:pPr>
    <w:rPr>
      <w:rFonts w:ascii="Arial" w:eastAsia="Arial" w:hAnsi="Arial" w:cs="Arial"/>
      <w:color w:val="000000"/>
    </w:rPr>
  </w:style>
  <w:style w:type="paragraph" w:styleId="CommentSubject">
    <w:name w:val="annotation subject"/>
    <w:basedOn w:val="CommentText"/>
    <w:next w:val="CommentText"/>
    <w:link w:val="CommentSubjectChar"/>
    <w:uiPriority w:val="99"/>
    <w:semiHidden/>
    <w:unhideWhenUsed/>
    <w:rsid w:val="009C6EDD"/>
    <w:rPr>
      <w:b/>
      <w:bCs/>
    </w:rPr>
  </w:style>
  <w:style w:type="character" w:customStyle="1" w:styleId="CommentSubjectChar">
    <w:name w:val="Comment Subject Char"/>
    <w:basedOn w:val="CommentTextChar"/>
    <w:link w:val="CommentSubject"/>
    <w:uiPriority w:val="99"/>
    <w:semiHidden/>
    <w:rsid w:val="009C6EDD"/>
    <w:rPr>
      <w:rFonts w:ascii="Arial" w:eastAsia="Arial" w:hAnsi="Arial" w:cs="Arial"/>
      <w:b/>
      <w:bCs/>
      <w:color w:val="000000"/>
      <w:sz w:val="20"/>
      <w:szCs w:val="20"/>
    </w:rPr>
  </w:style>
  <w:style w:type="character" w:styleId="Hyperlink">
    <w:name w:val="Hyperlink"/>
    <w:basedOn w:val="DefaultParagraphFont"/>
    <w:uiPriority w:val="99"/>
    <w:unhideWhenUsed/>
    <w:rsid w:val="0013571C"/>
    <w:rPr>
      <w:color w:val="0000FF" w:themeColor="hyperlink"/>
      <w:u w:val="single"/>
    </w:rPr>
  </w:style>
  <w:style w:type="character" w:styleId="FollowedHyperlink">
    <w:name w:val="FollowedHyperlink"/>
    <w:basedOn w:val="DefaultParagraphFont"/>
    <w:uiPriority w:val="99"/>
    <w:semiHidden/>
    <w:unhideWhenUsed/>
    <w:rsid w:val="0055150D"/>
    <w:rPr>
      <w:color w:val="800080" w:themeColor="followedHyperlink"/>
      <w:u w:val="single"/>
    </w:rPr>
  </w:style>
  <w:style w:type="paragraph" w:styleId="NormalWeb">
    <w:name w:val="Normal (Web)"/>
    <w:basedOn w:val="Normal"/>
    <w:uiPriority w:val="99"/>
    <w:semiHidden/>
    <w:unhideWhenUsed/>
    <w:rsid w:val="00EE630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Date1">
    <w:name w:val="Date1"/>
    <w:basedOn w:val="DefaultParagraphFont"/>
    <w:rsid w:val="003C332B"/>
  </w:style>
  <w:style w:type="paragraph" w:styleId="ListParagraph">
    <w:name w:val="List Paragraph"/>
    <w:basedOn w:val="Normal"/>
    <w:uiPriority w:val="34"/>
    <w:qFormat/>
    <w:rsid w:val="00D460D1"/>
    <w:pPr>
      <w:ind w:left="720"/>
      <w:contextualSpacing/>
    </w:pPr>
  </w:style>
  <w:style w:type="character" w:customStyle="1" w:styleId="field-content">
    <w:name w:val="field-content"/>
    <w:basedOn w:val="DefaultParagraphFont"/>
    <w:rsid w:val="004502A7"/>
  </w:style>
  <w:style w:type="character" w:customStyle="1" w:styleId="submitted">
    <w:name w:val="submitted"/>
    <w:basedOn w:val="DefaultParagraphFont"/>
    <w:rsid w:val="004502A7"/>
  </w:style>
  <w:style w:type="paragraph" w:customStyle="1" w:styleId="Default">
    <w:name w:val="Default"/>
    <w:rsid w:val="00AE3A2B"/>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926C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87099">
      <w:bodyDiv w:val="1"/>
      <w:marLeft w:val="0"/>
      <w:marRight w:val="0"/>
      <w:marTop w:val="0"/>
      <w:marBottom w:val="0"/>
      <w:divBdr>
        <w:top w:val="none" w:sz="0" w:space="0" w:color="auto"/>
        <w:left w:val="none" w:sz="0" w:space="0" w:color="auto"/>
        <w:bottom w:val="none" w:sz="0" w:space="0" w:color="auto"/>
        <w:right w:val="none" w:sz="0" w:space="0" w:color="auto"/>
      </w:divBdr>
      <w:divsChild>
        <w:div w:id="573666232">
          <w:marLeft w:val="547"/>
          <w:marRight w:val="0"/>
          <w:marTop w:val="154"/>
          <w:marBottom w:val="0"/>
          <w:divBdr>
            <w:top w:val="none" w:sz="0" w:space="0" w:color="auto"/>
            <w:left w:val="none" w:sz="0" w:space="0" w:color="auto"/>
            <w:bottom w:val="none" w:sz="0" w:space="0" w:color="auto"/>
            <w:right w:val="none" w:sz="0" w:space="0" w:color="auto"/>
          </w:divBdr>
        </w:div>
        <w:div w:id="1883859435">
          <w:marLeft w:val="1166"/>
          <w:marRight w:val="0"/>
          <w:marTop w:val="134"/>
          <w:marBottom w:val="0"/>
          <w:divBdr>
            <w:top w:val="none" w:sz="0" w:space="0" w:color="auto"/>
            <w:left w:val="none" w:sz="0" w:space="0" w:color="auto"/>
            <w:bottom w:val="none" w:sz="0" w:space="0" w:color="auto"/>
            <w:right w:val="none" w:sz="0" w:space="0" w:color="auto"/>
          </w:divBdr>
        </w:div>
      </w:divsChild>
    </w:div>
    <w:div w:id="165368706">
      <w:bodyDiv w:val="1"/>
      <w:marLeft w:val="0"/>
      <w:marRight w:val="0"/>
      <w:marTop w:val="0"/>
      <w:marBottom w:val="0"/>
      <w:divBdr>
        <w:top w:val="none" w:sz="0" w:space="0" w:color="auto"/>
        <w:left w:val="none" w:sz="0" w:space="0" w:color="auto"/>
        <w:bottom w:val="none" w:sz="0" w:space="0" w:color="auto"/>
        <w:right w:val="none" w:sz="0" w:space="0" w:color="auto"/>
      </w:divBdr>
    </w:div>
    <w:div w:id="550069503">
      <w:bodyDiv w:val="1"/>
      <w:marLeft w:val="0"/>
      <w:marRight w:val="0"/>
      <w:marTop w:val="0"/>
      <w:marBottom w:val="0"/>
      <w:divBdr>
        <w:top w:val="none" w:sz="0" w:space="0" w:color="auto"/>
        <w:left w:val="none" w:sz="0" w:space="0" w:color="auto"/>
        <w:bottom w:val="none" w:sz="0" w:space="0" w:color="auto"/>
        <w:right w:val="none" w:sz="0" w:space="0" w:color="auto"/>
      </w:divBdr>
    </w:div>
    <w:div w:id="682711709">
      <w:bodyDiv w:val="1"/>
      <w:marLeft w:val="0"/>
      <w:marRight w:val="0"/>
      <w:marTop w:val="0"/>
      <w:marBottom w:val="0"/>
      <w:divBdr>
        <w:top w:val="none" w:sz="0" w:space="0" w:color="auto"/>
        <w:left w:val="none" w:sz="0" w:space="0" w:color="auto"/>
        <w:bottom w:val="none" w:sz="0" w:space="0" w:color="auto"/>
        <w:right w:val="none" w:sz="0" w:space="0" w:color="auto"/>
      </w:divBdr>
    </w:div>
    <w:div w:id="740521329">
      <w:bodyDiv w:val="1"/>
      <w:marLeft w:val="0"/>
      <w:marRight w:val="0"/>
      <w:marTop w:val="0"/>
      <w:marBottom w:val="0"/>
      <w:divBdr>
        <w:top w:val="none" w:sz="0" w:space="0" w:color="auto"/>
        <w:left w:val="none" w:sz="0" w:space="0" w:color="auto"/>
        <w:bottom w:val="none" w:sz="0" w:space="0" w:color="auto"/>
        <w:right w:val="none" w:sz="0" w:space="0" w:color="auto"/>
      </w:divBdr>
      <w:divsChild>
        <w:div w:id="279385604">
          <w:marLeft w:val="547"/>
          <w:marRight w:val="0"/>
          <w:marTop w:val="154"/>
          <w:marBottom w:val="0"/>
          <w:divBdr>
            <w:top w:val="none" w:sz="0" w:space="0" w:color="auto"/>
            <w:left w:val="none" w:sz="0" w:space="0" w:color="auto"/>
            <w:bottom w:val="none" w:sz="0" w:space="0" w:color="auto"/>
            <w:right w:val="none" w:sz="0" w:space="0" w:color="auto"/>
          </w:divBdr>
        </w:div>
      </w:divsChild>
    </w:div>
    <w:div w:id="759370424">
      <w:bodyDiv w:val="1"/>
      <w:marLeft w:val="0"/>
      <w:marRight w:val="0"/>
      <w:marTop w:val="0"/>
      <w:marBottom w:val="0"/>
      <w:divBdr>
        <w:top w:val="none" w:sz="0" w:space="0" w:color="auto"/>
        <w:left w:val="none" w:sz="0" w:space="0" w:color="auto"/>
        <w:bottom w:val="none" w:sz="0" w:space="0" w:color="auto"/>
        <w:right w:val="none" w:sz="0" w:space="0" w:color="auto"/>
      </w:divBdr>
    </w:div>
    <w:div w:id="876550633">
      <w:bodyDiv w:val="1"/>
      <w:marLeft w:val="0"/>
      <w:marRight w:val="0"/>
      <w:marTop w:val="0"/>
      <w:marBottom w:val="0"/>
      <w:divBdr>
        <w:top w:val="none" w:sz="0" w:space="0" w:color="auto"/>
        <w:left w:val="none" w:sz="0" w:space="0" w:color="auto"/>
        <w:bottom w:val="none" w:sz="0" w:space="0" w:color="auto"/>
        <w:right w:val="none" w:sz="0" w:space="0" w:color="auto"/>
      </w:divBdr>
    </w:div>
    <w:div w:id="891116920">
      <w:bodyDiv w:val="1"/>
      <w:marLeft w:val="0"/>
      <w:marRight w:val="0"/>
      <w:marTop w:val="0"/>
      <w:marBottom w:val="0"/>
      <w:divBdr>
        <w:top w:val="none" w:sz="0" w:space="0" w:color="auto"/>
        <w:left w:val="none" w:sz="0" w:space="0" w:color="auto"/>
        <w:bottom w:val="none" w:sz="0" w:space="0" w:color="auto"/>
        <w:right w:val="none" w:sz="0" w:space="0" w:color="auto"/>
      </w:divBdr>
    </w:div>
    <w:div w:id="1130054320">
      <w:bodyDiv w:val="1"/>
      <w:marLeft w:val="0"/>
      <w:marRight w:val="0"/>
      <w:marTop w:val="0"/>
      <w:marBottom w:val="0"/>
      <w:divBdr>
        <w:top w:val="none" w:sz="0" w:space="0" w:color="auto"/>
        <w:left w:val="none" w:sz="0" w:space="0" w:color="auto"/>
        <w:bottom w:val="none" w:sz="0" w:space="0" w:color="auto"/>
        <w:right w:val="none" w:sz="0" w:space="0" w:color="auto"/>
      </w:divBdr>
    </w:div>
    <w:div w:id="1231303893">
      <w:bodyDiv w:val="1"/>
      <w:marLeft w:val="0"/>
      <w:marRight w:val="0"/>
      <w:marTop w:val="0"/>
      <w:marBottom w:val="0"/>
      <w:divBdr>
        <w:top w:val="none" w:sz="0" w:space="0" w:color="auto"/>
        <w:left w:val="none" w:sz="0" w:space="0" w:color="auto"/>
        <w:bottom w:val="none" w:sz="0" w:space="0" w:color="auto"/>
        <w:right w:val="none" w:sz="0" w:space="0" w:color="auto"/>
      </w:divBdr>
      <w:divsChild>
        <w:div w:id="1013918244">
          <w:marLeft w:val="0"/>
          <w:marRight w:val="0"/>
          <w:marTop w:val="0"/>
          <w:marBottom w:val="0"/>
          <w:divBdr>
            <w:top w:val="none" w:sz="0" w:space="0" w:color="auto"/>
            <w:left w:val="none" w:sz="0" w:space="0" w:color="auto"/>
            <w:bottom w:val="none" w:sz="0" w:space="0" w:color="auto"/>
            <w:right w:val="none" w:sz="0" w:space="0" w:color="auto"/>
          </w:divBdr>
        </w:div>
      </w:divsChild>
    </w:div>
    <w:div w:id="1327510198">
      <w:bodyDiv w:val="1"/>
      <w:marLeft w:val="0"/>
      <w:marRight w:val="0"/>
      <w:marTop w:val="0"/>
      <w:marBottom w:val="0"/>
      <w:divBdr>
        <w:top w:val="none" w:sz="0" w:space="0" w:color="auto"/>
        <w:left w:val="none" w:sz="0" w:space="0" w:color="auto"/>
        <w:bottom w:val="none" w:sz="0" w:space="0" w:color="auto"/>
        <w:right w:val="none" w:sz="0" w:space="0" w:color="auto"/>
      </w:divBdr>
      <w:divsChild>
        <w:div w:id="1614285253">
          <w:marLeft w:val="0"/>
          <w:marRight w:val="0"/>
          <w:marTop w:val="0"/>
          <w:marBottom w:val="0"/>
          <w:divBdr>
            <w:top w:val="none" w:sz="0" w:space="0" w:color="auto"/>
            <w:left w:val="none" w:sz="0" w:space="0" w:color="auto"/>
            <w:bottom w:val="none" w:sz="0" w:space="0" w:color="auto"/>
            <w:right w:val="none" w:sz="0" w:space="0" w:color="auto"/>
          </w:divBdr>
          <w:divsChild>
            <w:div w:id="197128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861593">
      <w:bodyDiv w:val="1"/>
      <w:marLeft w:val="0"/>
      <w:marRight w:val="0"/>
      <w:marTop w:val="0"/>
      <w:marBottom w:val="0"/>
      <w:divBdr>
        <w:top w:val="none" w:sz="0" w:space="0" w:color="auto"/>
        <w:left w:val="none" w:sz="0" w:space="0" w:color="auto"/>
        <w:bottom w:val="none" w:sz="0" w:space="0" w:color="auto"/>
        <w:right w:val="none" w:sz="0" w:space="0" w:color="auto"/>
      </w:divBdr>
      <w:divsChild>
        <w:div w:id="1232351122">
          <w:marLeft w:val="547"/>
          <w:marRight w:val="0"/>
          <w:marTop w:val="154"/>
          <w:marBottom w:val="0"/>
          <w:divBdr>
            <w:top w:val="none" w:sz="0" w:space="0" w:color="auto"/>
            <w:left w:val="none" w:sz="0" w:space="0" w:color="auto"/>
            <w:bottom w:val="none" w:sz="0" w:space="0" w:color="auto"/>
            <w:right w:val="none" w:sz="0" w:space="0" w:color="auto"/>
          </w:divBdr>
        </w:div>
        <w:div w:id="534346963">
          <w:marLeft w:val="547"/>
          <w:marRight w:val="0"/>
          <w:marTop w:val="154"/>
          <w:marBottom w:val="0"/>
          <w:divBdr>
            <w:top w:val="none" w:sz="0" w:space="0" w:color="auto"/>
            <w:left w:val="none" w:sz="0" w:space="0" w:color="auto"/>
            <w:bottom w:val="none" w:sz="0" w:space="0" w:color="auto"/>
            <w:right w:val="none" w:sz="0" w:space="0" w:color="auto"/>
          </w:divBdr>
        </w:div>
        <w:div w:id="1551917172">
          <w:marLeft w:val="1166"/>
          <w:marRight w:val="0"/>
          <w:marTop w:val="134"/>
          <w:marBottom w:val="0"/>
          <w:divBdr>
            <w:top w:val="none" w:sz="0" w:space="0" w:color="auto"/>
            <w:left w:val="none" w:sz="0" w:space="0" w:color="auto"/>
            <w:bottom w:val="none" w:sz="0" w:space="0" w:color="auto"/>
            <w:right w:val="none" w:sz="0" w:space="0" w:color="auto"/>
          </w:divBdr>
        </w:div>
        <w:div w:id="203255109">
          <w:marLeft w:val="547"/>
          <w:marRight w:val="0"/>
          <w:marTop w:val="154"/>
          <w:marBottom w:val="0"/>
          <w:divBdr>
            <w:top w:val="none" w:sz="0" w:space="0" w:color="auto"/>
            <w:left w:val="none" w:sz="0" w:space="0" w:color="auto"/>
            <w:bottom w:val="none" w:sz="0" w:space="0" w:color="auto"/>
            <w:right w:val="none" w:sz="0" w:space="0" w:color="auto"/>
          </w:divBdr>
        </w:div>
        <w:div w:id="1981886242">
          <w:marLeft w:val="1166"/>
          <w:marRight w:val="0"/>
          <w:marTop w:val="134"/>
          <w:marBottom w:val="0"/>
          <w:divBdr>
            <w:top w:val="none" w:sz="0" w:space="0" w:color="auto"/>
            <w:left w:val="none" w:sz="0" w:space="0" w:color="auto"/>
            <w:bottom w:val="none" w:sz="0" w:space="0" w:color="auto"/>
            <w:right w:val="none" w:sz="0" w:space="0" w:color="auto"/>
          </w:divBdr>
        </w:div>
        <w:div w:id="637616351">
          <w:marLeft w:val="547"/>
          <w:marRight w:val="0"/>
          <w:marTop w:val="154"/>
          <w:marBottom w:val="0"/>
          <w:divBdr>
            <w:top w:val="none" w:sz="0" w:space="0" w:color="auto"/>
            <w:left w:val="none" w:sz="0" w:space="0" w:color="auto"/>
            <w:bottom w:val="none" w:sz="0" w:space="0" w:color="auto"/>
            <w:right w:val="none" w:sz="0" w:space="0" w:color="auto"/>
          </w:divBdr>
        </w:div>
      </w:divsChild>
    </w:div>
    <w:div w:id="1675910454">
      <w:bodyDiv w:val="1"/>
      <w:marLeft w:val="0"/>
      <w:marRight w:val="0"/>
      <w:marTop w:val="0"/>
      <w:marBottom w:val="0"/>
      <w:divBdr>
        <w:top w:val="none" w:sz="0" w:space="0" w:color="auto"/>
        <w:left w:val="none" w:sz="0" w:space="0" w:color="auto"/>
        <w:bottom w:val="none" w:sz="0" w:space="0" w:color="auto"/>
        <w:right w:val="none" w:sz="0" w:space="0" w:color="auto"/>
      </w:divBdr>
      <w:divsChild>
        <w:div w:id="436483659">
          <w:marLeft w:val="0"/>
          <w:marRight w:val="0"/>
          <w:marTop w:val="0"/>
          <w:marBottom w:val="0"/>
          <w:divBdr>
            <w:top w:val="none" w:sz="0" w:space="0" w:color="auto"/>
            <w:left w:val="none" w:sz="0" w:space="0" w:color="auto"/>
            <w:bottom w:val="none" w:sz="0" w:space="0" w:color="auto"/>
            <w:right w:val="none" w:sz="0" w:space="0" w:color="auto"/>
          </w:divBdr>
        </w:div>
      </w:divsChild>
    </w:div>
    <w:div w:id="1741488988">
      <w:bodyDiv w:val="1"/>
      <w:marLeft w:val="0"/>
      <w:marRight w:val="0"/>
      <w:marTop w:val="0"/>
      <w:marBottom w:val="0"/>
      <w:divBdr>
        <w:top w:val="none" w:sz="0" w:space="0" w:color="auto"/>
        <w:left w:val="none" w:sz="0" w:space="0" w:color="auto"/>
        <w:bottom w:val="none" w:sz="0" w:space="0" w:color="auto"/>
        <w:right w:val="none" w:sz="0" w:space="0" w:color="auto"/>
      </w:divBdr>
    </w:div>
    <w:div w:id="1787309380">
      <w:bodyDiv w:val="1"/>
      <w:marLeft w:val="0"/>
      <w:marRight w:val="0"/>
      <w:marTop w:val="0"/>
      <w:marBottom w:val="0"/>
      <w:divBdr>
        <w:top w:val="none" w:sz="0" w:space="0" w:color="auto"/>
        <w:left w:val="none" w:sz="0" w:space="0" w:color="auto"/>
        <w:bottom w:val="none" w:sz="0" w:space="0" w:color="auto"/>
        <w:right w:val="none" w:sz="0" w:space="0" w:color="auto"/>
      </w:divBdr>
      <w:divsChild>
        <w:div w:id="413211673">
          <w:marLeft w:val="0"/>
          <w:marRight w:val="0"/>
          <w:marTop w:val="0"/>
          <w:marBottom w:val="0"/>
          <w:divBdr>
            <w:top w:val="none" w:sz="0" w:space="0" w:color="auto"/>
            <w:left w:val="none" w:sz="0" w:space="0" w:color="auto"/>
            <w:bottom w:val="none" w:sz="0" w:space="0" w:color="auto"/>
            <w:right w:val="none" w:sz="0" w:space="0" w:color="auto"/>
          </w:divBdr>
        </w:div>
      </w:divsChild>
    </w:div>
    <w:div w:id="2144805283">
      <w:bodyDiv w:val="1"/>
      <w:marLeft w:val="0"/>
      <w:marRight w:val="0"/>
      <w:marTop w:val="0"/>
      <w:marBottom w:val="0"/>
      <w:divBdr>
        <w:top w:val="none" w:sz="0" w:space="0" w:color="auto"/>
        <w:left w:val="none" w:sz="0" w:space="0" w:color="auto"/>
        <w:bottom w:val="none" w:sz="0" w:space="0" w:color="auto"/>
        <w:right w:val="none" w:sz="0" w:space="0" w:color="auto"/>
      </w:divBdr>
      <w:divsChild>
        <w:div w:id="51846754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hyperlink" Target="http://www.emoocs2014.eu/sites/default/files/Proceedings-Moocs-Summit-2014.pdf" TargetMode="External"/><Relationship Id="rId21" Type="http://schemas.openxmlformats.org/officeDocument/2006/relationships/hyperlink" Target="http://www.insidehighered.com/news/2013/09/12/after-weeks-delays-san-jose-state-u-releases-research-report-online-courses" TargetMode="External"/><Relationship Id="rId22" Type="http://schemas.openxmlformats.org/officeDocument/2006/relationships/hyperlink" Target="http://publications.cetis.ac.uk/2014/898" TargetMode="External"/><Relationship Id="rId23" Type="http://schemas.openxmlformats.org/officeDocument/2006/relationships/hyperlink" Target="http://publications.cetis.ac.uk/2013/667" TargetMode="External"/><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48" Type="http://schemas.microsoft.com/office/2011/relationships/people" Target="people.xm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hyperlink" Target="https://www.coursera.org/course/sciwrite" TargetMode="External"/><Relationship Id="rId13" Type="http://schemas.openxmlformats.org/officeDocument/2006/relationships/image" Target="media/image3.png"/><Relationship Id="rId14" Type="http://schemas.openxmlformats.org/officeDocument/2006/relationships/hyperlink" Target="http://www.theguardian.com/higher-education-network/blog/2012/dec/20/futurelearn-uk-moocs-martin-bean" TargetMode="External"/><Relationship Id="rId15" Type="http://schemas.openxmlformats.org/officeDocument/2006/relationships/hyperlink" Target="http://openuct.uct.ac.za/blog/mooc-less-africa" TargetMode="External"/><Relationship Id="rId16" Type="http://schemas.openxmlformats.org/officeDocument/2006/relationships/hyperlink" Target="http://jime.open.ac.uk/article/2012-18/pdf" TargetMode="External"/><Relationship Id="rId17" Type="http://schemas.openxmlformats.org/officeDocument/2006/relationships/hyperlink" Target="http://blogs.salford.ac.uk/martin-hall/moocs-learned/" TargetMode="External"/><Relationship Id="rId18" Type="http://schemas.openxmlformats.org/officeDocument/2006/relationships/hyperlink" Target="http://jolt.merlot.org/vol9no2/%0Bmarshall_0613.htm" TargetMode="External"/><Relationship Id="rId19" Type="http://schemas.openxmlformats.org/officeDocument/2006/relationships/hyperlink" Target="http://www.nytimes.com/2012/11/04/education/edlife/massive-open-online-courses-are-multiplying-at-a-rapid-pace.html?pagewanted=all"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Ghanashyam &amp; Murphy (Eds) Special Issue of on MOOCs, Journal of Global Literacies, Technology, and Emerging Pedagogies (JOGLTEP)</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2D4B68-35E4-A341-9D83-F7754CE0F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6825</Words>
  <Characters>38908</Characters>
  <Application>Microsoft Macintosh Word</Application>
  <DocSecurity>0</DocSecurity>
  <Lines>324</Lines>
  <Paragraphs>91</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Thought Paper: Engaging with MOOCs in a developing country context</vt:lpstr>
      <vt:lpstr>Introduction </vt:lpstr>
      <vt:lpstr>MOOC categories</vt:lpstr>
      <vt:lpstr>    Category one - teaching showcase</vt:lpstr>
      <vt:lpstr>    Category Five - research showcase</vt:lpstr>
      <vt:lpstr>    Category Two - gateway skills</vt:lpstr>
      <vt:lpstr>    Category Three Gateway Graduate Literacies Courses</vt:lpstr>
      <vt:lpstr>    Category Four: Professional Skills Courses </vt:lpstr>
      <vt:lpstr>        Concluding discussion</vt:lpstr>
      <vt:lpstr>References</vt:lpstr>
    </vt:vector>
  </TitlesOfParts>
  <Company>University of Cape Town</Company>
  <LinksUpToDate>false</LinksUpToDate>
  <CharactersWithSpaces>45642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Thought Paper: Engaging with MOOCs in a developing country context</dc:title>
  <dc:creator>User</dc:creator>
  <cp:lastModifiedBy>Sukaina Walji</cp:lastModifiedBy>
  <cp:revision>2</cp:revision>
  <cp:lastPrinted>2014-06-13T10:47:00Z</cp:lastPrinted>
  <dcterms:created xsi:type="dcterms:W3CDTF">2014-06-16T13:14:00Z</dcterms:created>
  <dcterms:modified xsi:type="dcterms:W3CDTF">2014-06-16T13:14:00Z</dcterms:modified>
</cp:coreProperties>
</file>